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7920D372" w:rsidR="009E7D0C" w:rsidRPr="00B3568A" w:rsidRDefault="00B3568A" w:rsidP="00B3568A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HU</w:t>
      </w:r>
    </w:p>
    <w:p w14:paraId="2704A83C" w14:textId="77777777" w:rsidR="009E7D0C" w:rsidRPr="00037E7B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D6FD9D5" w:rsidR="008D696E" w:rsidRPr="00037E7B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II. MELLÉKLET</w:t>
      </w:r>
    </w:p>
    <w:p w14:paraId="37362007" w14:textId="6FB5EC15" w:rsidR="002648B0" w:rsidRPr="00037E7B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„II. MELLÉKLET</w:t>
      </w:r>
    </w:p>
    <w:p w14:paraId="327777EC" w14:textId="77777777" w:rsidR="002648B0" w:rsidRPr="00037E7B" w:rsidRDefault="00D11E4C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ÚTMUTATÓ A SZAVATOLÓTŐKÉRE ÉS A SZAVATOLÓTŐKE-KÖVETELMÉNYEKRE VONATKOZÓ ADATSZOLGÁLTATÁSHOZ</w:t>
      </w:r>
    </w:p>
    <w:p w14:paraId="2C40683C" w14:textId="77777777" w:rsidR="00436204" w:rsidRPr="00037E7B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7E85F65D" w14:textId="77777777" w:rsidR="002648B0" w:rsidRPr="00037E7B" w:rsidRDefault="002648B0" w:rsidP="00005FFC">
      <w:pPr>
        <w:rPr>
          <w:rFonts w:ascii="Times New Roman" w:hAnsi="Times New Roman"/>
          <w:sz w:val="24"/>
        </w:rPr>
      </w:pPr>
    </w:p>
    <w:p w14:paraId="74494658" w14:textId="77777777" w:rsidR="002648B0" w:rsidRPr="00037E7B" w:rsidRDefault="002648B0" w:rsidP="00D64B66">
      <w:pPr>
        <w:pStyle w:val="Heading2"/>
        <w:rPr>
          <w:rFonts w:ascii="Times New Roman" w:hAnsi="Times New Roman"/>
        </w:rPr>
      </w:pPr>
      <w:bookmarkStart w:id="2" w:name="_Toc360188322"/>
      <w:bookmarkStart w:id="3" w:name="_Toc473560870"/>
      <w:bookmarkStart w:id="4" w:name="_Toc151714358"/>
      <w:r>
        <w:rPr>
          <w:rFonts w:ascii="Times New Roman" w:hAnsi="Times New Roman"/>
        </w:rPr>
        <w:t>II. RÉSZ: TÁBLASPECIFIKUS ÚTMUTATÓ</w:t>
      </w:r>
      <w:bookmarkEnd w:id="2"/>
      <w:bookmarkEnd w:id="3"/>
      <w:bookmarkEnd w:id="4"/>
    </w:p>
    <w:p w14:paraId="76BE57B6" w14:textId="77777777" w:rsidR="00964546" w:rsidRPr="00037E7B" w:rsidRDefault="00964546" w:rsidP="00964546">
      <w:pPr>
        <w:rPr>
          <w:lang w:eastAsia="x-none"/>
        </w:rPr>
      </w:pPr>
    </w:p>
    <w:p w14:paraId="31A06314" w14:textId="70B4B7D9" w:rsidR="00964546" w:rsidRPr="00037E7B" w:rsidRDefault="00964546" w:rsidP="00964546">
      <w:r>
        <w:t>(…)</w:t>
      </w:r>
    </w:p>
    <w:p w14:paraId="607D2E45" w14:textId="2ECC5240" w:rsidR="00AB3069" w:rsidRPr="00037E7B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bookmarkStart w:id="5" w:name="_Toc151714534"/>
      <w:bookmarkEnd w:id="0"/>
      <w:bookmarkEnd w:id="1"/>
      <w:r>
        <w:rPr>
          <w:rFonts w:ascii="Times New Roman" w:hAnsi="Times New Roman"/>
          <w:sz w:val="24"/>
        </w:rPr>
        <w:t>9. A kereskedési könyvre és a piaci kockázatra vonatkozó küszöbértékek, a kereskedési könyv és a nem kereskedési könyv közötti elhatárolás, átsorolások</w:t>
      </w:r>
      <w:bookmarkEnd w:id="5"/>
    </w:p>
    <w:p w14:paraId="1FF5D1DF" w14:textId="771ED598" w:rsidR="00A4497F" w:rsidRPr="00037E7B" w:rsidRDefault="003E6AEB" w:rsidP="00A4497F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6" w:name="_Toc7084156"/>
      <w:bookmarkStart w:id="7" w:name="_Toc37168636"/>
      <w:bookmarkStart w:id="8" w:name="_Toc151714535"/>
      <w:r>
        <w:rPr>
          <w:rFonts w:ascii="Times New Roman" w:hAnsi="Times New Roman"/>
          <w:sz w:val="24"/>
        </w:rPr>
        <w:t>9.1</w:t>
      </w:r>
      <w:r>
        <w:rPr>
          <w:rFonts w:ascii="Times New Roman" w:hAnsi="Times New Roman"/>
          <w:sz w:val="24"/>
        </w:rPr>
        <w:tab/>
      </w:r>
      <w:bookmarkEnd w:id="6"/>
      <w:r>
        <w:rPr>
          <w:rFonts w:ascii="Times New Roman" w:hAnsi="Times New Roman"/>
          <w:sz w:val="24"/>
        </w:rPr>
        <w:t xml:space="preserve">C 90.00 A kereskedési könyvre és a piaci kockázatra vonatkozó küszöbértékek </w:t>
      </w:r>
      <w:bookmarkEnd w:id="7"/>
      <w:bookmarkEnd w:id="8"/>
      <w:r>
        <w:rPr>
          <w:rFonts w:ascii="Times New Roman" w:hAnsi="Times New Roman"/>
          <w:sz w:val="24"/>
        </w:rPr>
        <w:t>T</w:t>
      </w:r>
    </w:p>
    <w:p w14:paraId="458F8B64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9" w:name="_Toc151714536"/>
      <w:r>
        <w:rPr>
          <w:rFonts w:ascii="Times New Roman" w:hAnsi="Times New Roman"/>
          <w:sz w:val="24"/>
          <w:u w:val="none"/>
        </w:rPr>
        <w:t>9.1.1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sz w:val="24"/>
          <w:u w:val="none"/>
        </w:rPr>
        <w:t>Általános megjegyzések</w:t>
      </w:r>
    </w:p>
    <w:p w14:paraId="2EE35BE9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>Ebben a táblában az 575/2013/EU rendelet 94. cikkében (kis méretű kereskedési könyvi tevékenységre vonatkozó eltérés) említett számítás eredményére, valamint az intézményeknek az 575/2013/EU rendelet 325a. cikke szerint kiszámított, piaci kockázatnak kitett mérleg szerinti és mérlegen kívüli üzleti tevékenységének nagyságára vonatkozó adatokat kell feltüntetni.</w:t>
      </w:r>
    </w:p>
    <w:p w14:paraId="6349D8A7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0" w:name="_Toc37168638"/>
      <w:r>
        <w:rPr>
          <w:rFonts w:ascii="Times New Roman" w:hAnsi="Times New Roman"/>
          <w:sz w:val="24"/>
          <w:u w:val="none"/>
        </w:rPr>
        <w:t>9.1.2</w:t>
      </w:r>
      <w:r>
        <w:rPr>
          <w:rFonts w:ascii="Times New Roman" w:hAnsi="Times New Roman"/>
          <w:sz w:val="24"/>
          <w:u w:val="none"/>
        </w:rPr>
        <w:tab/>
        <w:t>A tábla egyes részeire vonatkozó útmutató</w:t>
      </w:r>
      <w:bookmarkEnd w:id="10"/>
    </w:p>
    <w:p w14:paraId="230964CC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>Az 575/2013/EU rendelet 94. cikkében említett számítás eredményét, valamint az intézmények piaci kockázatnak kitett mérleg szerinti és mérlegen kívüli üzleti tevékenységének nagyságára vonatkozó, az 575/2013/EU rendelet 325a. cikke szerint kiszámított értékeket külön-külön kell feltüntetni a 0010–0030. sorban az adatszolgáltatás tárgyát képező negyedév egyes hónapjaira vonatkozó hónap végi adatok felhasználásával.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3"/>
        <w:gridCol w:w="7953"/>
      </w:tblGrid>
      <w:tr w:rsidR="00F65FA6" w:rsidRPr="00037E7B" w14:paraId="7A8AE764" w14:textId="77777777" w:rsidTr="00E02007">
        <w:tc>
          <w:tcPr>
            <w:tcW w:w="1063" w:type="dxa"/>
            <w:shd w:val="clear" w:color="auto" w:fill="BFBFBF" w:themeFill="background1" w:themeFillShade="BF"/>
          </w:tcPr>
          <w:p w14:paraId="3A6CAFB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Sor</w:t>
            </w:r>
          </w:p>
        </w:tc>
        <w:tc>
          <w:tcPr>
            <w:tcW w:w="7953" w:type="dxa"/>
            <w:shd w:val="clear" w:color="auto" w:fill="BFBFBF" w:themeFill="background1" w:themeFillShade="BF"/>
          </w:tcPr>
          <w:p w14:paraId="769CDB0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Jogszabályi hivatkozások és útmutató</w:t>
            </w:r>
          </w:p>
        </w:tc>
      </w:tr>
      <w:tr w:rsidR="00F65FA6" w:rsidRPr="00037E7B" w14:paraId="3355BF5A" w14:textId="77777777" w:rsidTr="00E02007">
        <w:tc>
          <w:tcPr>
            <w:tcW w:w="1063" w:type="dxa"/>
          </w:tcPr>
          <w:p w14:paraId="3DDBD759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953" w:type="dxa"/>
          </w:tcPr>
          <w:p w14:paraId="35E13A17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3. hónap</w:t>
            </w:r>
          </w:p>
          <w:p w14:paraId="1C7E462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adatszolgáltatás tárgyát képező negyedév harmadik hónapjának utolsó napjára vonatkozó adatok.</w:t>
            </w:r>
          </w:p>
        </w:tc>
      </w:tr>
      <w:tr w:rsidR="00F65FA6" w:rsidRPr="00037E7B" w14:paraId="7B4ADC45" w14:textId="77777777" w:rsidTr="00E02007">
        <w:tc>
          <w:tcPr>
            <w:tcW w:w="1063" w:type="dxa"/>
          </w:tcPr>
          <w:p w14:paraId="7B9AA53A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</w:t>
            </w:r>
          </w:p>
        </w:tc>
        <w:tc>
          <w:tcPr>
            <w:tcW w:w="7953" w:type="dxa"/>
          </w:tcPr>
          <w:p w14:paraId="76C1917C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 hónap</w:t>
            </w:r>
          </w:p>
          <w:p w14:paraId="7AF7462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adatszolgáltatás tárgyát képező negyedév második hónapjának utolsó napjára vonatkozó adatok.</w:t>
            </w:r>
          </w:p>
        </w:tc>
      </w:tr>
      <w:tr w:rsidR="00F65FA6" w:rsidRPr="00037E7B" w14:paraId="3D6489DB" w14:textId="77777777" w:rsidTr="00E02007">
        <w:tc>
          <w:tcPr>
            <w:tcW w:w="1063" w:type="dxa"/>
          </w:tcPr>
          <w:p w14:paraId="01F1336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953" w:type="dxa"/>
          </w:tcPr>
          <w:p w14:paraId="1D4D1B3C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 hónap</w:t>
            </w:r>
          </w:p>
          <w:p w14:paraId="321A7E1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Az adatszolgáltatás tárgyát képező negyedév első hónapjának utolsó napjára vonatkozó adatok.</w:t>
            </w:r>
          </w:p>
        </w:tc>
      </w:tr>
    </w:tbl>
    <w:p w14:paraId="55096B4D" w14:textId="77777777" w:rsidR="00F65FA6" w:rsidRPr="00037E7B" w:rsidRDefault="00F65FA6" w:rsidP="00F65FA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7973"/>
      </w:tblGrid>
      <w:tr w:rsidR="00F65FA6" w:rsidRPr="00037E7B" w14:paraId="6AF8CFCD" w14:textId="77777777" w:rsidTr="00E02007">
        <w:tc>
          <w:tcPr>
            <w:tcW w:w="1043" w:type="dxa"/>
            <w:shd w:val="clear" w:color="auto" w:fill="BFBFBF" w:themeFill="background1" w:themeFillShade="BF"/>
          </w:tcPr>
          <w:p w14:paraId="65665385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Oszlop</w:t>
            </w:r>
          </w:p>
        </w:tc>
        <w:tc>
          <w:tcPr>
            <w:tcW w:w="7973" w:type="dxa"/>
            <w:shd w:val="clear" w:color="auto" w:fill="BFBFBF" w:themeFill="background1" w:themeFillShade="BF"/>
          </w:tcPr>
          <w:p w14:paraId="219EFA66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Jogszabályi hivatkozások és útmutató</w:t>
            </w:r>
          </w:p>
        </w:tc>
      </w:tr>
      <w:tr w:rsidR="00F65FA6" w:rsidRPr="00037E7B" w14:paraId="57E5CA86" w14:textId="77777777" w:rsidTr="00E02007">
        <w:tc>
          <w:tcPr>
            <w:tcW w:w="1043" w:type="dxa"/>
          </w:tcPr>
          <w:p w14:paraId="6648E6E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973" w:type="dxa"/>
          </w:tcPr>
          <w:p w14:paraId="15CE25E0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Piaci kockázatnak kitett mérleg szerinti és mérlegen kívüli üzleti tevékenység</w:t>
            </w:r>
          </w:p>
          <w:p w14:paraId="208FB79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325a. cikkének (2) bekezdése.</w:t>
            </w:r>
          </w:p>
          <w:p w14:paraId="44825AE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Az intézményeknek a piaci kockázatnak kitett mérleg szerinti és mérlegen kívüli üzleti tevékenységük tekintetében az 575/2013/EU rendelet 325a. cikkének (2) bekezdése szerint kiszámított abszolút összeget kell megadniuk. </w:t>
            </w:r>
          </w:p>
        </w:tc>
      </w:tr>
      <w:tr w:rsidR="00F65FA6" w:rsidRPr="00037E7B" w14:paraId="5EBC2E16" w14:textId="77777777" w:rsidTr="00E02007">
        <w:tc>
          <w:tcPr>
            <w:tcW w:w="1043" w:type="dxa"/>
          </w:tcPr>
          <w:p w14:paraId="25974D86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0020–0060</w:t>
            </w:r>
          </w:p>
        </w:tc>
        <w:tc>
          <w:tcPr>
            <w:tcW w:w="7973" w:type="dxa"/>
          </w:tcPr>
          <w:p w14:paraId="3885D529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 szabály szerinti könyvnek megfelelő bontás</w:t>
            </w:r>
          </w:p>
          <w:p w14:paraId="014F6AA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 piaci kockázatnak kitett mérleg szerinti és mérlegen kívüli üzleti tevékenységre vonatkozó adatokat bontani kell kereskedési könyv és nem kereskedési könyv szerint. </w:t>
            </w:r>
          </w:p>
        </w:tc>
      </w:tr>
      <w:tr w:rsidR="00F65FA6" w:rsidRPr="00037E7B" w14:paraId="5E57F79B" w14:textId="77777777" w:rsidTr="00E02007">
        <w:tc>
          <w:tcPr>
            <w:tcW w:w="1043" w:type="dxa"/>
          </w:tcPr>
          <w:p w14:paraId="7440E785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0020–0040</w:t>
            </w:r>
          </w:p>
        </w:tc>
        <w:tc>
          <w:tcPr>
            <w:tcW w:w="7973" w:type="dxa"/>
          </w:tcPr>
          <w:p w14:paraId="78FEC356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Kereskedési könyv</w:t>
            </w:r>
          </w:p>
          <w:p w14:paraId="6098BB5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 kereskedési könyvhöz rendelt összes olyan pozíció, amelyet az 575/2013/EU rendelet 325a. cikkének (2) bekezdése szerinti számításban figyelembe vesznek.</w:t>
            </w:r>
          </w:p>
        </w:tc>
      </w:tr>
      <w:tr w:rsidR="00F65FA6" w:rsidRPr="00037E7B" w14:paraId="63198C07" w14:textId="77777777" w:rsidTr="00E02007">
        <w:tc>
          <w:tcPr>
            <w:tcW w:w="1043" w:type="dxa"/>
          </w:tcPr>
          <w:p w14:paraId="6FC2F0F0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0030–0040</w:t>
            </w:r>
          </w:p>
        </w:tc>
        <w:tc>
          <w:tcPr>
            <w:tcW w:w="7973" w:type="dxa"/>
          </w:tcPr>
          <w:p w14:paraId="24A21C27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ebből: Kereskedési könyv szerinti tevékenység az 575/2013/EU rendelet 94. cikkének alkalmazásában</w:t>
            </w:r>
          </w:p>
          <w:p w14:paraId="7A1ECC7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94. cikkének (3) bekezdése.</w:t>
            </w:r>
          </w:p>
          <w:p w14:paraId="0A9722A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Az 575/2013/EU rendelet 94. cikke (3) bekezdésének b) pontjában előírtaknak megfelelően az intézményeknek a hónap utolsó napjára vonatkozó piaci értéket kell megadniuk; ha a piaci értékek nem állnak rendelkezésre, az adott napra vonatkozó valós értéket kell megadni, vagy ha az adott napi valós és piaci érték nem áll rendelkezésre, az intézménynek a legutóbbi piaci értéket vagy valós értéket kell feltüntetnie. </w:t>
            </w:r>
          </w:p>
        </w:tc>
      </w:tr>
      <w:tr w:rsidR="00F65FA6" w:rsidRPr="00037E7B" w14:paraId="1BA6F191" w14:textId="77777777" w:rsidTr="00E02007">
        <w:tc>
          <w:tcPr>
            <w:tcW w:w="1043" w:type="dxa"/>
          </w:tcPr>
          <w:p w14:paraId="661DD23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973" w:type="dxa"/>
          </w:tcPr>
          <w:p w14:paraId="21157FF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Összesen</w:t>
            </w:r>
          </w:p>
          <w:p w14:paraId="50DBCCC0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94. cikkének (3) bekezdése.</w:t>
            </w:r>
          </w:p>
          <w:p w14:paraId="1B4AB24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94. cikke (3) bekezdésének c) pontjában előírtaknak megfelelően összegezni kell a hosszú és rövid pozíciók abszolút összegét.</w:t>
            </w:r>
          </w:p>
        </w:tc>
      </w:tr>
      <w:tr w:rsidR="00F65FA6" w:rsidRPr="00037E7B" w14:paraId="39EFF6D7" w14:textId="77777777" w:rsidTr="00E02007">
        <w:tc>
          <w:tcPr>
            <w:tcW w:w="1043" w:type="dxa"/>
          </w:tcPr>
          <w:p w14:paraId="6E8E06FD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0040</w:t>
            </w:r>
          </w:p>
        </w:tc>
        <w:tc>
          <w:tcPr>
            <w:tcW w:w="7973" w:type="dxa"/>
          </w:tcPr>
          <w:p w14:paraId="59AF046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az összes eszköz százalékos arányában</w:t>
            </w:r>
          </w:p>
          <w:p w14:paraId="2A48E439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94. cikke (1) bekezdésének a) pontja.</w:t>
            </w:r>
          </w:p>
          <w:p w14:paraId="49681B66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94. cikkének alkalmazásában a kereskedési könyv szerinti üzleti tevékenység nagyságát az összes eszköz százalékos arányaként kell kifejezni.</w:t>
            </w:r>
          </w:p>
        </w:tc>
      </w:tr>
      <w:tr w:rsidR="00F65FA6" w:rsidRPr="00037E7B" w14:paraId="2C1E41CE" w14:textId="77777777" w:rsidTr="00E02007">
        <w:tc>
          <w:tcPr>
            <w:tcW w:w="1043" w:type="dxa"/>
          </w:tcPr>
          <w:p w14:paraId="45DD6754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0050–0060</w:t>
            </w:r>
          </w:p>
        </w:tc>
        <w:tc>
          <w:tcPr>
            <w:tcW w:w="7973" w:type="dxa"/>
          </w:tcPr>
          <w:p w14:paraId="59D1D77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Nem kereskedési könyv </w:t>
            </w:r>
          </w:p>
          <w:p w14:paraId="62438A7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A nem kereskedési könyvhöz rendelt összes olyan pozíció, amelyet az 575/2013/EU rendelet 325a. cikkének (2) bekezdése szerinti számításban figyelembe vesznek.</w:t>
            </w:r>
          </w:p>
          <w:p w14:paraId="5423740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intézményeknek a piaci kockázatnak kitett nem kereskedési könyvi pozíciókat devizaárfolyam-kockázatnak kitett pozíciókra és árukockázatnak kitett pozíciókra bontva kell feltüntetniük.</w:t>
            </w:r>
          </w:p>
          <w:p w14:paraId="6F2651D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 releváns összegeket az 575/2013/EU rendelet 325a. cikke (2) bekezdésének d) és e) pontja szerint kell meghatározni. </w:t>
            </w:r>
          </w:p>
        </w:tc>
      </w:tr>
      <w:tr w:rsidR="00F65FA6" w:rsidRPr="00037E7B" w14:paraId="15FBA6A1" w14:textId="77777777" w:rsidTr="00E02007">
        <w:tc>
          <w:tcPr>
            <w:tcW w:w="1043" w:type="dxa"/>
          </w:tcPr>
          <w:p w14:paraId="1FCF453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0070</w:t>
            </w:r>
          </w:p>
        </w:tc>
        <w:tc>
          <w:tcPr>
            <w:tcW w:w="7973" w:type="dxa"/>
          </w:tcPr>
          <w:p w14:paraId="6D9E3BF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az összes eszköz százalékos arányában</w:t>
            </w:r>
          </w:p>
          <w:p w14:paraId="6A6F8AC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325a. cikke (1) bekezdésének a) pontja.</w:t>
            </w:r>
          </w:p>
          <w:p w14:paraId="542B237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 piaci kockázatnak kitett mérleg szerinti és mérlegen kívüli üzleti tevékenységet az összes eszköz százalékában kell kifejezni.</w:t>
            </w:r>
          </w:p>
        </w:tc>
      </w:tr>
      <w:tr w:rsidR="00F65FA6" w:rsidRPr="00037E7B" w14:paraId="74752559" w14:textId="77777777" w:rsidTr="00E02007">
        <w:tc>
          <w:tcPr>
            <w:tcW w:w="1043" w:type="dxa"/>
          </w:tcPr>
          <w:p w14:paraId="72343CA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0080</w:t>
            </w:r>
          </w:p>
        </w:tc>
        <w:tc>
          <w:tcPr>
            <w:tcW w:w="7973" w:type="dxa"/>
          </w:tcPr>
          <w:p w14:paraId="5907245C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Eszközök összesen</w:t>
            </w:r>
          </w:p>
          <w:p w14:paraId="020AD40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94. cikke (1) bekezdésének a) pontja és 325a. cikke (1) bekezdésének a) pontja.</w:t>
            </w:r>
          </w:p>
        </w:tc>
      </w:tr>
    </w:tbl>
    <w:p w14:paraId="2C563A95" w14:textId="77777777" w:rsidR="00F65FA6" w:rsidRPr="00037E7B" w:rsidRDefault="00F65FA6" w:rsidP="00F65FA6">
      <w:pPr>
        <w:rPr>
          <w:rFonts w:ascii="Times New Roman" w:hAnsi="Times New Roman"/>
          <w:sz w:val="24"/>
        </w:rPr>
      </w:pPr>
    </w:p>
    <w:p w14:paraId="3D64E99A" w14:textId="053F6133" w:rsidR="00AB3069" w:rsidRPr="00037E7B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r>
        <w:rPr>
          <w:rFonts w:ascii="Times New Roman" w:hAnsi="Times New Roman"/>
          <w:sz w:val="24"/>
        </w:rPr>
        <w:t>9.2 A kereskedési könyv és a nem kereskedési könyv közötti elhatárolás (BOU)</w:t>
      </w:r>
      <w:bookmarkEnd w:id="9"/>
    </w:p>
    <w:p w14:paraId="2D9236ED" w14:textId="27F33E1C" w:rsidR="009B2CA6" w:rsidRPr="00037E7B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1" w:name="_Toc151714537"/>
      <w:r>
        <w:rPr>
          <w:rFonts w:ascii="Times New Roman" w:hAnsi="Times New Roman"/>
          <w:sz w:val="24"/>
        </w:rPr>
        <w:t>9.2.1</w:t>
      </w:r>
      <w:r>
        <w:rPr>
          <w:rFonts w:ascii="Times New Roman" w:hAnsi="Times New Roman"/>
          <w:sz w:val="24"/>
        </w:rPr>
        <w:tab/>
        <w:t>Általános megjegyzések</w:t>
      </w:r>
      <w:bookmarkEnd w:id="11"/>
    </w:p>
    <w:p w14:paraId="5D51F5A4" w14:textId="105C86A5" w:rsidR="009B2CA6" w:rsidRPr="00037E7B" w:rsidRDefault="000B3833" w:rsidP="00660845">
      <w:pPr>
        <w:pStyle w:val="InstructionsText2"/>
        <w:numPr>
          <w:ilvl w:val="0"/>
          <w:numId w:val="0"/>
        </w:numPr>
      </w:pPr>
      <w:r>
        <w:t xml:space="preserve">209a. Ebben a táblában a kereskedési könyv (BOU1) összetételéről kell információt szolgáltatni, az 575/2013/EU rendelet 104. cikkében rögzített, az instrumentumoknak a könyvekbe történő besorolására vonatkozó vélelmek figyelembevételével. </w:t>
      </w:r>
    </w:p>
    <w:p w14:paraId="6EE2D450" w14:textId="77777777" w:rsidR="00015197" w:rsidRPr="00037E7B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2" w:name="_Toc151714538"/>
      <w:r>
        <w:rPr>
          <w:rFonts w:ascii="Times New Roman" w:hAnsi="Times New Roman"/>
          <w:sz w:val="24"/>
        </w:rPr>
        <w:t>9.2.2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</w:rPr>
        <w:t>C 90.05 – Elhatárolás: Kereskedési könyv (BOU1)</w:t>
      </w:r>
      <w:bookmarkEnd w:id="12"/>
    </w:p>
    <w:p w14:paraId="642D4D18" w14:textId="1B329C57" w:rsidR="00015197" w:rsidRPr="00037E7B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3" w:name="_Toc151714539"/>
      <w:r>
        <w:rPr>
          <w:rFonts w:ascii="Times New Roman" w:hAnsi="Times New Roman"/>
          <w:sz w:val="24"/>
        </w:rPr>
        <w:t>9.2.2.1 Általános megjegyzések</w:t>
      </w:r>
      <w:bookmarkEnd w:id="13"/>
    </w:p>
    <w:p w14:paraId="4E94C71F" w14:textId="73207B56" w:rsidR="00D87969" w:rsidRPr="00037E7B" w:rsidRDefault="000B3833" w:rsidP="00D53CED">
      <w:pPr>
        <w:pStyle w:val="InstructionsText2"/>
        <w:numPr>
          <w:ilvl w:val="0"/>
          <w:numId w:val="0"/>
        </w:numPr>
        <w:rPr>
          <w:noProof/>
        </w:rPr>
      </w:pPr>
      <w:r>
        <w:t>209b. Az intézményeknek ebben a táblában kell feltüntetniük az 575/2013/EU rendelet 4. cikke (1) bekezdése 85. pontjának megfelelően a kereskedési könyvhöz rendelt összes pozíciót, kivéve az 575/2013/EU rendelet 325a. cikkében említett küszöbérték számításából kizárt instrumentumokat és pozíciókat.209c.Az (EU) 2021/451 rendelet 21. cikke (1) bekezdésének a) pontjától eltérve az intézményeknek nullát kell feltüntetniük a 0010-es és 0020-as sor 0020-as („Kötelezően a kereskedési könyvben”), 0130-as (Az illetékes hatóság jóváhagyásával a kereskedési könyvben szereplő instrumentumok: Fedezeti alapokban lévő instrumentumok) és 0140-es (Egyéb instrumentumok) oszlopában, ha a kereskedési könyvük nem tartalmaz az adott cella leírásának megfelelő instrumentumot.</w:t>
      </w:r>
    </w:p>
    <w:p w14:paraId="032CBDD2" w14:textId="553C54FC" w:rsidR="00056154" w:rsidRPr="00037E7B" w:rsidRDefault="00056154">
      <w:pPr>
        <w:pStyle w:val="InstructionsText2"/>
        <w:numPr>
          <w:ilvl w:val="0"/>
          <w:numId w:val="0"/>
        </w:numPr>
        <w:rPr>
          <w:noProof/>
        </w:rPr>
      </w:pPr>
    </w:p>
    <w:p w14:paraId="2C4982B9" w14:textId="526F501C" w:rsidR="009B2CA6" w:rsidRPr="00037E7B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4" w:name="_Toc151714540"/>
      <w:r>
        <w:rPr>
          <w:rFonts w:ascii="Times New Roman" w:hAnsi="Times New Roman"/>
          <w:sz w:val="24"/>
        </w:rPr>
        <w:t>9.2.2.2 A tábla egyes részeire vonatkozó útmutató</w:t>
      </w:r>
      <w:bookmarkEnd w:id="1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15D9E2A5" w14:textId="77777777">
        <w:tc>
          <w:tcPr>
            <w:tcW w:w="1203" w:type="dxa"/>
            <w:shd w:val="clear" w:color="auto" w:fill="BFBFBF" w:themeFill="background1" w:themeFillShade="BF"/>
          </w:tcPr>
          <w:p w14:paraId="1B28CD80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Oszlop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07605642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Jogszabályi hivatkozások és útmutató</w:t>
            </w:r>
          </w:p>
        </w:tc>
      </w:tr>
      <w:tr w:rsidR="009B2CA6" w:rsidRPr="00037E7B" w14:paraId="55E2B293" w14:textId="77777777">
        <w:trPr>
          <w:trHeight w:val="70"/>
        </w:trPr>
        <w:tc>
          <w:tcPr>
            <w:tcW w:w="1203" w:type="dxa"/>
          </w:tcPr>
          <w:p w14:paraId="62D87E0D" w14:textId="7B0469E1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0010–0150</w:t>
            </w:r>
          </w:p>
        </w:tc>
        <w:tc>
          <w:tcPr>
            <w:tcW w:w="7813" w:type="dxa"/>
            <w:vAlign w:val="bottom"/>
          </w:tcPr>
          <w:p w14:paraId="266895B6" w14:textId="221A095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Kereskedési könyv: Összesített pozíciók: Az 575/2013/EU rendelet 325a. cikke értelmében vett érték (nettó (+) pozitív / (–) negatív piaci érték)</w:t>
            </w:r>
          </w:p>
          <w:p w14:paraId="00ABD96B" w14:textId="77777777" w:rsidR="009B2CA6" w:rsidRPr="00037E7B" w:rsidRDefault="009B2CA6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4. cikke (1) bekezdésének 86. pontja, 104. cikke és 325a. cikke (2) bekezdésének a) pontja</w:t>
            </w:r>
          </w:p>
          <w:p w14:paraId="467A1E21" w14:textId="008DABF1" w:rsidR="0061609C" w:rsidRPr="00037E7B" w:rsidRDefault="0061609C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t>Az intézményeknek külön kell adatot szolgáltatniuk az összesített hosszú pozíciókról és az összesített rövid pozíciókról. Az összesített hosszú (rövid) pozíció értékét az 575/2013/EU rendelet 325a. cikke (2) bekezdésének megfelelően kell meghatározniuk, a következő eltéréssel: Ha az összesített hosszú (rövid) pozíció értéke pozitív nettó piaci értéknek felel meg, ebben a táblában pozitív értéket kell feltüntetni; ha az összesített hosszú (rövid) pozíció értéke negatív nettó piaci értéknek felel meg, negatív értéket kell feltüntetni.</w:t>
            </w:r>
          </w:p>
        </w:tc>
      </w:tr>
      <w:tr w:rsidR="009B2CA6" w:rsidRPr="00037E7B" w14:paraId="508C4AB7" w14:textId="77777777">
        <w:tc>
          <w:tcPr>
            <w:tcW w:w="1203" w:type="dxa"/>
          </w:tcPr>
          <w:p w14:paraId="502BC619" w14:textId="735ED871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813" w:type="dxa"/>
            <w:vAlign w:val="bottom"/>
          </w:tcPr>
          <w:p w14:paraId="3A5B9DDA" w14:textId="7548675F" w:rsidR="009B2CA6" w:rsidRPr="00037E7B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Összesített pozíciók – ebből: devizában</w:t>
            </w:r>
          </w:p>
          <w:p w14:paraId="67C375D5" w14:textId="58B41269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Ebben az oszlopban azokat az instrumentumokat kell feltüntetni, amelyek az adatszolgáltatás pénznemétől eltérő pénznemben denomináltak, ha alapul szolgáló eszközük ilyen pénznemben denominált, vagy alapul szolgáló eszközként devizapozíciójuk van.</w:t>
            </w:r>
          </w:p>
        </w:tc>
      </w:tr>
      <w:tr w:rsidR="009B2CA6" w:rsidRPr="00037E7B" w14:paraId="03CCA48F" w14:textId="77777777">
        <w:tc>
          <w:tcPr>
            <w:tcW w:w="1203" w:type="dxa"/>
          </w:tcPr>
          <w:p w14:paraId="311B1C42" w14:textId="2702B59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0020–0120</w:t>
            </w:r>
          </w:p>
        </w:tc>
        <w:tc>
          <w:tcPr>
            <w:tcW w:w="7813" w:type="dxa"/>
            <w:vAlign w:val="bottom"/>
          </w:tcPr>
          <w:p w14:paraId="7817D847" w14:textId="2DFC160D" w:rsidR="009B2CA6" w:rsidRPr="00037E7B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Összesített pozíciók – Kötelezően a kereskedési könyvben</w:t>
            </w:r>
          </w:p>
          <w:p w14:paraId="45D126DC" w14:textId="42024198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Ha egy instrumentum egynél több feltételt teljesít a kereskedési könyvben való szerepeltetéshez, az intézményeknek azt a 0030–0120-as oszlop közül az általuk legmegfelelőbbnek ítélt oszlopban kell feltüntetniük. A számviteli keretek alapján kereskedési célúnak minősített instrumentumokat csak akkor kell a 0120-as oszlopban feltüntetni, ha azok nem sorolhatók a 0030–0110-es oszlop egyikébe sem.</w:t>
            </w:r>
          </w:p>
        </w:tc>
      </w:tr>
      <w:tr w:rsidR="009B2CA6" w:rsidRPr="00037E7B" w14:paraId="6AC9BF62" w14:textId="77777777">
        <w:tc>
          <w:tcPr>
            <w:tcW w:w="1203" w:type="dxa"/>
          </w:tcPr>
          <w:p w14:paraId="5CD1C53C" w14:textId="3AE6C82A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</w:t>
            </w:r>
          </w:p>
        </w:tc>
        <w:tc>
          <w:tcPr>
            <w:tcW w:w="7813" w:type="dxa"/>
            <w:vAlign w:val="bottom"/>
          </w:tcPr>
          <w:p w14:paraId="76886CFB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Kötelezően a kereskedési könyvben</w:t>
            </w:r>
          </w:p>
        </w:tc>
      </w:tr>
      <w:tr w:rsidR="009B2CA6" w:rsidRPr="00037E7B" w14:paraId="1DB81A60" w14:textId="77777777">
        <w:tc>
          <w:tcPr>
            <w:tcW w:w="1203" w:type="dxa"/>
          </w:tcPr>
          <w:p w14:paraId="58C00983" w14:textId="4299CC1F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813" w:type="dxa"/>
          </w:tcPr>
          <w:p w14:paraId="5A39CA9E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ACTP-ben levő instrumentumok</w:t>
            </w:r>
          </w:p>
          <w:p w14:paraId="761EFC0B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Az 575/2013/EU rendelet 104. cikke (2) bekezdése első albekezdésének a) pontja</w:t>
            </w:r>
          </w:p>
        </w:tc>
      </w:tr>
      <w:tr w:rsidR="009B2CA6" w:rsidRPr="00037E7B" w14:paraId="6F489832" w14:textId="77777777">
        <w:tc>
          <w:tcPr>
            <w:tcW w:w="1203" w:type="dxa"/>
          </w:tcPr>
          <w:p w14:paraId="3AD88966" w14:textId="2138AB7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0040</w:t>
            </w:r>
          </w:p>
        </w:tc>
        <w:tc>
          <w:tcPr>
            <w:tcW w:w="7813" w:type="dxa"/>
          </w:tcPr>
          <w:p w14:paraId="201BF48F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Olyan instrumentumok, amelyek nettó rövid hitel- vagy részvénypozíciót keletkeztetnének a banki könyvben</w:t>
            </w:r>
          </w:p>
          <w:p w14:paraId="6B81D801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Az 575/2013/EU rendelet 104. cikke (2) bekezdése első albekezdésének b) pontja</w:t>
            </w:r>
          </w:p>
        </w:tc>
      </w:tr>
      <w:tr w:rsidR="009B2CA6" w:rsidRPr="00037E7B" w14:paraId="2681A203" w14:textId="77777777">
        <w:tc>
          <w:tcPr>
            <w:tcW w:w="1203" w:type="dxa"/>
          </w:tcPr>
          <w:p w14:paraId="4F039D7D" w14:textId="1615A9ED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</w:t>
            </w:r>
          </w:p>
        </w:tc>
        <w:tc>
          <w:tcPr>
            <w:tcW w:w="7813" w:type="dxa"/>
          </w:tcPr>
          <w:p w14:paraId="58BDB0D5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Értékpapírjegyzési garanciavállalásokból származó instrumentumok</w:t>
            </w:r>
          </w:p>
          <w:p w14:paraId="0035AEDA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Az 575/2013/EU rendelet 104. cikke (2) bekezdése első albekezdésének c) pontja</w:t>
            </w:r>
          </w:p>
        </w:tc>
      </w:tr>
      <w:tr w:rsidR="009B2CA6" w:rsidRPr="00037E7B" w14:paraId="0F150DD0" w14:textId="77777777">
        <w:tc>
          <w:tcPr>
            <w:tcW w:w="1203" w:type="dxa"/>
          </w:tcPr>
          <w:p w14:paraId="56310523" w14:textId="5824B274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0060</w:t>
            </w:r>
          </w:p>
        </w:tc>
        <w:tc>
          <w:tcPr>
            <w:tcW w:w="7813" w:type="dxa"/>
          </w:tcPr>
          <w:p w14:paraId="319EF2D9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u w:val="single"/>
              </w:rPr>
              <w:t>Árjegyzési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tevékenységből származó instrumentumok</w:t>
            </w:r>
          </w:p>
          <w:p w14:paraId="39D72E39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lastRenderedPageBreak/>
              <w:t>Az 575/2013/EU rendelet 104. cikke (2) bekezdése első albekezdésének e) pontja</w:t>
            </w:r>
          </w:p>
        </w:tc>
      </w:tr>
      <w:tr w:rsidR="009B2CA6" w:rsidRPr="00037E7B" w14:paraId="3EEE4A44" w14:textId="77777777">
        <w:tc>
          <w:tcPr>
            <w:tcW w:w="1203" w:type="dxa"/>
          </w:tcPr>
          <w:p w14:paraId="35BF9484" w14:textId="12DEDF5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0070</w:t>
            </w:r>
          </w:p>
        </w:tc>
        <w:tc>
          <w:tcPr>
            <w:tcW w:w="7813" w:type="dxa"/>
          </w:tcPr>
          <w:p w14:paraId="11B16F63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Kollektív befektetési formák (KBF-ek)</w:t>
            </w:r>
          </w:p>
          <w:p w14:paraId="5F0ADDDD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Az 575/2013/EU rendelet 104. cikke (2) bekezdése első albekezdésének f) pontja</w:t>
            </w:r>
          </w:p>
        </w:tc>
      </w:tr>
      <w:tr w:rsidR="009B2CA6" w:rsidRPr="00037E7B" w14:paraId="39B1FCD7" w14:textId="77777777">
        <w:tc>
          <w:tcPr>
            <w:tcW w:w="1203" w:type="dxa"/>
          </w:tcPr>
          <w:p w14:paraId="56A3EA85" w14:textId="5D6B9DAD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0080</w:t>
            </w:r>
          </w:p>
        </w:tc>
        <w:tc>
          <w:tcPr>
            <w:tcW w:w="7813" w:type="dxa"/>
          </w:tcPr>
          <w:p w14:paraId="6968C5A8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Tőzsdén jegyzett részvények</w:t>
            </w:r>
          </w:p>
          <w:p w14:paraId="7373B9F6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104. cikke (2) bekezdése első albekezdésének g) pontja</w:t>
            </w:r>
          </w:p>
        </w:tc>
      </w:tr>
      <w:tr w:rsidR="009B2CA6" w:rsidRPr="00037E7B" w14:paraId="2C868D17" w14:textId="77777777">
        <w:tc>
          <w:tcPr>
            <w:tcW w:w="1203" w:type="dxa"/>
          </w:tcPr>
          <w:p w14:paraId="7C3DA249" w14:textId="2DCB2DC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0090</w:t>
            </w:r>
          </w:p>
        </w:tc>
        <w:tc>
          <w:tcPr>
            <w:tcW w:w="7813" w:type="dxa"/>
          </w:tcPr>
          <w:p w14:paraId="6387D715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Kereskedéshez kapcsolódó értékpapír-finanszírozási ügyletek</w:t>
            </w:r>
          </w:p>
          <w:p w14:paraId="6D53378A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Az 575/2013/EU rendelet 104. cikke (2) bekezdése első albekezdésének h) pontja</w:t>
            </w:r>
          </w:p>
        </w:tc>
      </w:tr>
      <w:tr w:rsidR="009B2CA6" w:rsidRPr="00037E7B" w14:paraId="51E19E34" w14:textId="77777777">
        <w:tc>
          <w:tcPr>
            <w:tcW w:w="1203" w:type="dxa"/>
          </w:tcPr>
          <w:p w14:paraId="40DF6AD2" w14:textId="66A7EFB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0100</w:t>
            </w:r>
          </w:p>
        </w:tc>
        <w:tc>
          <w:tcPr>
            <w:tcW w:w="7813" w:type="dxa"/>
          </w:tcPr>
          <w:p w14:paraId="5611CE5C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Az intézmény saját kötelezettségeibe beágyazott opciók vagy más származtatott pénzügyi eszközök (felosztott)</w:t>
            </w:r>
          </w:p>
          <w:p w14:paraId="0426719F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Az 575/2013/EU rendelet 104. cikke (2) bekezdése első albekezdésének i) pontja és harmadik albekezdése</w:t>
            </w:r>
          </w:p>
        </w:tc>
      </w:tr>
      <w:tr w:rsidR="009B2CA6" w:rsidRPr="00037E7B" w14:paraId="0BD2C394" w14:textId="77777777">
        <w:tc>
          <w:tcPr>
            <w:tcW w:w="1203" w:type="dxa"/>
          </w:tcPr>
          <w:p w14:paraId="577F08A1" w14:textId="53A3A002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0110</w:t>
            </w:r>
          </w:p>
        </w:tc>
        <w:tc>
          <w:tcPr>
            <w:tcW w:w="7813" w:type="dxa"/>
          </w:tcPr>
          <w:p w14:paraId="3F7AFD3A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Az intézmény saját kötelezettségei beágyazott opciókkal vagy más származtatott pénzügyi eszközökkel (nem felosztott)</w:t>
            </w:r>
          </w:p>
          <w:p w14:paraId="6C5173C2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Az 575/2013/EU rendelet 104. cikke (2) bekezdésének első albekezdése i) pontja és negyedik albekezdése</w:t>
            </w:r>
          </w:p>
        </w:tc>
      </w:tr>
      <w:tr w:rsidR="009B2CA6" w:rsidRPr="00037E7B" w14:paraId="5BD829B0" w14:textId="77777777">
        <w:tc>
          <w:tcPr>
            <w:tcW w:w="1203" w:type="dxa"/>
          </w:tcPr>
          <w:p w14:paraId="2FA5C009" w14:textId="473E61D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0120</w:t>
            </w:r>
          </w:p>
        </w:tc>
        <w:tc>
          <w:tcPr>
            <w:tcW w:w="7813" w:type="dxa"/>
          </w:tcPr>
          <w:p w14:paraId="04C4E6C0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 számviteli keretek alapján kereskedési célúnak minősített instrumentumok (nem szerepelnek az előző oszlopokban)</w:t>
            </w:r>
          </w:p>
          <w:p w14:paraId="10D50030" w14:textId="47C96D6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104. cikke (2) bekezdése első albekezdésének d) pontja</w:t>
            </w:r>
          </w:p>
          <w:p w14:paraId="5674D9E6" w14:textId="3DAB8DFF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 számviteli keretek alapján kereskedési célúnak minősített instrumentumokat csak akkor kell ebben az oszlopban feltüntetni, ha azok nem szerepelnek a 0030–0110-es oszlop egyikében sem.</w:t>
            </w:r>
          </w:p>
        </w:tc>
      </w:tr>
      <w:tr w:rsidR="009B2CA6" w:rsidRPr="00037E7B" w14:paraId="2E034E64" w14:textId="77777777">
        <w:tc>
          <w:tcPr>
            <w:tcW w:w="1203" w:type="dxa"/>
          </w:tcPr>
          <w:p w14:paraId="0EC43CAD" w14:textId="3F3C4B46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0130 </w:t>
            </w:r>
          </w:p>
        </w:tc>
        <w:tc>
          <w:tcPr>
            <w:tcW w:w="7813" w:type="dxa"/>
          </w:tcPr>
          <w:p w14:paraId="1958765E" w14:textId="79733BFC" w:rsidR="009B2CA6" w:rsidRPr="00037E7B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Összesített pozíciók – Az illetékes hatóság jóváhagyásával a kereskedési könyvben szereplő instrumentumok: Fedezeti alapokban lévő instrumentumok</w:t>
            </w:r>
          </w:p>
          <w:p w14:paraId="71C1AC7E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Az 575/2013/EU rendelet 104. cikkének (4a) bekezdése.</w:t>
            </w:r>
          </w:p>
        </w:tc>
      </w:tr>
      <w:tr w:rsidR="009B2CA6" w:rsidRPr="00037E7B" w14:paraId="58C0F140" w14:textId="77777777">
        <w:tc>
          <w:tcPr>
            <w:tcW w:w="1203" w:type="dxa"/>
          </w:tcPr>
          <w:p w14:paraId="4FE32C77" w14:textId="078AEE3E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0140–0150</w:t>
            </w:r>
          </w:p>
        </w:tc>
        <w:tc>
          <w:tcPr>
            <w:tcW w:w="7813" w:type="dxa"/>
          </w:tcPr>
          <w:p w14:paraId="592DBEC6" w14:textId="54D13645" w:rsidR="009B2CA6" w:rsidRPr="00037E7B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Összesített pozíciók – Egyéb instrumentumok</w:t>
            </w:r>
          </w:p>
          <w:p w14:paraId="4AFCA133" w14:textId="3CC0563A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Ebben az oszlopban azokat az instrumentumokat kell feltüntetni, amelyeket az 575/2013/EU rendelet 4. cikke (1) bekezdése 85. pontjának megfelelően a kereskedési könyvhöz rendeltek, de nem szerepelnek a 0020–0130-as oszlopban.</w:t>
            </w:r>
          </w:p>
        </w:tc>
      </w:tr>
      <w:tr w:rsidR="009B2CA6" w:rsidRPr="00037E7B" w14:paraId="2F8F4937" w14:textId="77777777">
        <w:tc>
          <w:tcPr>
            <w:tcW w:w="1203" w:type="dxa"/>
          </w:tcPr>
          <w:p w14:paraId="7CF40847" w14:textId="77E27C6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0140</w:t>
            </w:r>
          </w:p>
        </w:tc>
        <w:tc>
          <w:tcPr>
            <w:tcW w:w="7813" w:type="dxa"/>
          </w:tcPr>
          <w:p w14:paraId="38EE7871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Egyéb instrumentumok</w:t>
            </w:r>
          </w:p>
        </w:tc>
      </w:tr>
      <w:tr w:rsidR="009B2CA6" w:rsidRPr="00037E7B" w14:paraId="64544C3C" w14:textId="77777777">
        <w:tc>
          <w:tcPr>
            <w:tcW w:w="1203" w:type="dxa"/>
          </w:tcPr>
          <w:p w14:paraId="26F8855E" w14:textId="46CAE73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0150</w:t>
            </w:r>
          </w:p>
        </w:tc>
        <w:tc>
          <w:tcPr>
            <w:tcW w:w="7813" w:type="dxa"/>
          </w:tcPr>
          <w:p w14:paraId="27213E71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Egyéb instrumentumok – ebből: A nem kereskedési könyvbe való besoroláshoz szükséges bizonyítékok hiánya miatt a kereskedési könyvben szereplő instrumentumok</w:t>
            </w:r>
          </w:p>
          <w:p w14:paraId="41653FFB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Az 575/2013/EU rendelet 104. cikke (6) bekezdésének második mondata</w:t>
            </w:r>
          </w:p>
        </w:tc>
      </w:tr>
    </w:tbl>
    <w:p w14:paraId="10FD81A7" w14:textId="77777777" w:rsidR="009B2CA6" w:rsidRPr="00037E7B" w:rsidRDefault="009B2CA6" w:rsidP="009B2CA6">
      <w:pPr>
        <w:pStyle w:val="body"/>
        <w:spacing w:before="0" w:after="0"/>
        <w:rPr>
          <w:rFonts w:ascii="Times New Roman" w:hAnsi="Times New Roman" w:cs="Times New Roman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098F6BB4" w14:textId="77777777">
        <w:tc>
          <w:tcPr>
            <w:tcW w:w="1203" w:type="dxa"/>
            <w:shd w:val="clear" w:color="auto" w:fill="BFBFBF" w:themeFill="background1" w:themeFillShade="BF"/>
          </w:tcPr>
          <w:p w14:paraId="68638DB3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Sor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4E400868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Jogszabályi hivatkozások és útmutató</w:t>
            </w:r>
          </w:p>
        </w:tc>
      </w:tr>
      <w:tr w:rsidR="009C1D1D" w:rsidRPr="00037E7B" w14:paraId="7134C634" w14:textId="77777777">
        <w:trPr>
          <w:trHeight w:val="70"/>
        </w:trPr>
        <w:tc>
          <w:tcPr>
            <w:tcW w:w="1203" w:type="dxa"/>
          </w:tcPr>
          <w:p w14:paraId="0369C832" w14:textId="5442AEC0" w:rsidR="009C1D1D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0010–0020</w:t>
            </w:r>
          </w:p>
        </w:tc>
        <w:tc>
          <w:tcPr>
            <w:tcW w:w="7813" w:type="dxa"/>
            <w:vAlign w:val="bottom"/>
          </w:tcPr>
          <w:p w14:paraId="0C31E542" w14:textId="7FD81BBC" w:rsidR="009C1D1D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 kereskedési könyv összes olyan instrumentuma, amelyet az 575/2013/EU rendelet 325a. cikke szerinti küszöb tekintetében figyelembe vesznek</w:t>
            </w:r>
          </w:p>
        </w:tc>
      </w:tr>
      <w:tr w:rsidR="009B2CA6" w:rsidRPr="00037E7B" w14:paraId="225F200D" w14:textId="77777777" w:rsidTr="00723BA8">
        <w:trPr>
          <w:trHeight w:val="70"/>
        </w:trPr>
        <w:tc>
          <w:tcPr>
            <w:tcW w:w="1203" w:type="dxa"/>
          </w:tcPr>
          <w:p w14:paraId="5E239DC6" w14:textId="25A2560E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0030–0040</w:t>
            </w:r>
          </w:p>
        </w:tc>
        <w:tc>
          <w:tcPr>
            <w:tcW w:w="7813" w:type="dxa"/>
          </w:tcPr>
          <w:p w14:paraId="63B321D7" w14:textId="77777777" w:rsidR="00A17954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Olyan instrumentumok, amelyek fő kockázati tényezője az általános kamatlábkockázat vagy a hitelfelár-kockázat</w:t>
            </w:r>
          </w:p>
          <w:p w14:paraId="1768966A" w14:textId="77777777" w:rsidR="009B2CA6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  <w:lang w:val="en-GB"/>
              </w:rPr>
            </w:pPr>
          </w:p>
        </w:tc>
      </w:tr>
      <w:tr w:rsidR="009B2CA6" w:rsidRPr="00037E7B" w14:paraId="2557F02B" w14:textId="77777777" w:rsidTr="00723BA8">
        <w:trPr>
          <w:trHeight w:val="70"/>
        </w:trPr>
        <w:tc>
          <w:tcPr>
            <w:tcW w:w="1203" w:type="dxa"/>
          </w:tcPr>
          <w:p w14:paraId="365D4766" w14:textId="5FCC0FF4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0050–0060</w:t>
            </w:r>
          </w:p>
        </w:tc>
        <w:tc>
          <w:tcPr>
            <w:tcW w:w="7813" w:type="dxa"/>
          </w:tcPr>
          <w:p w14:paraId="3388E222" w14:textId="77777777" w:rsidR="009B2CA6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Olyan instrumentumok, amelyek fő kockázati tényezője a részvénypiaci kockázat</w:t>
            </w:r>
          </w:p>
        </w:tc>
      </w:tr>
      <w:tr w:rsidR="009B2CA6" w:rsidRPr="00037E7B" w14:paraId="615194B9" w14:textId="77777777" w:rsidTr="00723BA8">
        <w:trPr>
          <w:trHeight w:val="70"/>
        </w:trPr>
        <w:tc>
          <w:tcPr>
            <w:tcW w:w="1203" w:type="dxa"/>
          </w:tcPr>
          <w:p w14:paraId="39A575D7" w14:textId="6612F010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0070–0080</w:t>
            </w:r>
          </w:p>
        </w:tc>
        <w:tc>
          <w:tcPr>
            <w:tcW w:w="7813" w:type="dxa"/>
          </w:tcPr>
          <w:p w14:paraId="1BA6993E" w14:textId="77777777" w:rsidR="009B2CA6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Olyan instrumentumok, amelyek fő kockázati tényezője a devizaárfolyam-kockázat</w:t>
            </w:r>
          </w:p>
        </w:tc>
      </w:tr>
      <w:tr w:rsidR="009B2CA6" w:rsidRPr="00037E7B" w14:paraId="6C784F43" w14:textId="77777777" w:rsidTr="00723BA8">
        <w:trPr>
          <w:trHeight w:val="70"/>
        </w:trPr>
        <w:tc>
          <w:tcPr>
            <w:tcW w:w="1203" w:type="dxa"/>
          </w:tcPr>
          <w:p w14:paraId="11C355B3" w14:textId="7F907F02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0090–0100</w:t>
            </w:r>
          </w:p>
        </w:tc>
        <w:tc>
          <w:tcPr>
            <w:tcW w:w="7813" w:type="dxa"/>
          </w:tcPr>
          <w:p w14:paraId="0DBB7B5D" w14:textId="77777777" w:rsidR="009B2CA6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Olyan instrumentumok, amelyek fő kockázati tényezője az árukockázat</w:t>
            </w:r>
          </w:p>
        </w:tc>
      </w:tr>
      <w:tr w:rsidR="009B2CA6" w:rsidRPr="00037E7B" w14:paraId="621D668A" w14:textId="77777777">
        <w:trPr>
          <w:trHeight w:val="70"/>
        </w:trPr>
        <w:tc>
          <w:tcPr>
            <w:tcW w:w="1203" w:type="dxa"/>
          </w:tcPr>
          <w:p w14:paraId="5E85AB2F" w14:textId="7FA64DA7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0110–0120</w:t>
            </w:r>
          </w:p>
        </w:tc>
        <w:tc>
          <w:tcPr>
            <w:tcW w:w="7813" w:type="dxa"/>
            <w:vAlign w:val="bottom"/>
          </w:tcPr>
          <w:p w14:paraId="05743526" w14:textId="39B8C6D0" w:rsidR="00A17954" w:rsidRPr="00037E7B" w:rsidRDefault="00D35757" w:rsidP="00A17954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 kereskedési könyv egyéb instrumentumai, köztük az olyan instrumentumok, amelyek fő kockázati tényezője a fennmaradó kockázat</w:t>
            </w:r>
          </w:p>
          <w:p w14:paraId="49050F01" w14:textId="0520CC26" w:rsidR="009B2CA6" w:rsidRPr="00723BA8" w:rsidRDefault="00D35757">
            <w:pPr>
              <w:pStyle w:val="BodyText"/>
              <w:spacing w:before="120" w:after="120"/>
              <w:rPr>
                <w:rFonts w:hint="eastAsia"/>
              </w:rPr>
            </w:pPr>
            <w:r>
              <w:t xml:space="preserve">Az intézményeknek ezeken a sorokon kell feltüntetniük minden olyan, a kereskedési könyvhöz rendelt instrumentumot, amelynek fő kockázati tényezője nem tartozik a 0030–0100-as sorban említett kockázati tényezők közé. E sorokon legalább azon instrumentumokat fel kell tüntetni, amelyek fő kockázati tényezőjét fennmaradó kockázatok jelentik.  </w:t>
            </w:r>
          </w:p>
        </w:tc>
      </w:tr>
      <w:tr w:rsidR="009B2CA6" w:rsidRPr="00037E7B" w14:paraId="461D04B3" w14:textId="77777777">
        <w:trPr>
          <w:trHeight w:val="70"/>
        </w:trPr>
        <w:tc>
          <w:tcPr>
            <w:tcW w:w="1203" w:type="dxa"/>
          </w:tcPr>
          <w:p w14:paraId="1CF3996C" w14:textId="0F9E87BA" w:rsidR="009B2CA6" w:rsidRPr="00037E7B" w:rsidRDefault="00546B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0130–0140</w:t>
            </w:r>
          </w:p>
        </w:tc>
        <w:tc>
          <w:tcPr>
            <w:tcW w:w="7813" w:type="dxa"/>
            <w:vAlign w:val="bottom"/>
          </w:tcPr>
          <w:p w14:paraId="48517D2E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Tájékoztató adat: A számviteli keretek alapján kereskedési célúnak minősített instrumentumok</w:t>
            </w:r>
          </w:p>
          <w:p w14:paraId="3A1B5873" w14:textId="2B81F1B6" w:rsidR="009B2CA6" w:rsidRPr="00037E7B" w:rsidRDefault="009B2CA6" w:rsidP="00723BA8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104. cikke (2) bekezdése első albekezdésének d) pontja</w:t>
            </w:r>
          </w:p>
        </w:tc>
      </w:tr>
    </w:tbl>
    <w:p w14:paraId="59860518" w14:textId="5FCC674D" w:rsidR="00AB3069" w:rsidRPr="00037E7B" w:rsidRDefault="00201582" w:rsidP="000059B8">
      <w:pPr>
        <w:pStyle w:val="Instructionsberschrift2"/>
        <w:numPr>
          <w:ilvl w:val="0"/>
          <w:numId w:val="0"/>
        </w:numPr>
        <w:ind w:left="357" w:hanging="357"/>
      </w:pPr>
      <w:bookmarkStart w:id="15" w:name="_Toc151714544"/>
      <w:r>
        <w:rPr>
          <w:rFonts w:ascii="Times New Roman" w:hAnsi="Times New Roman"/>
          <w:sz w:val="24"/>
        </w:rPr>
        <w:t>9.3 C 24.01 – A kereskedési könyv elhatárolása – A könyvek közötti átsorolások (MOV)</w:t>
      </w:r>
      <w:bookmarkEnd w:id="15"/>
    </w:p>
    <w:p w14:paraId="36E171AE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9.3.1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sz w:val="24"/>
          <w:u w:val="none"/>
        </w:rPr>
        <w:t>Általános megjegyzések</w:t>
      </w:r>
    </w:p>
    <w:p w14:paraId="01D302B5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Ebben a táblában a pozícióknak az 575/2013/EU rendelet 104a. cikke szerinti átsorolására vonatkozó információkat kell megadni. </w:t>
      </w:r>
    </w:p>
    <w:p w14:paraId="171B977F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>Az átsorolásokat ebben a táblában csak a következő két esetben kell feltüntetni:</w:t>
      </w:r>
    </w:p>
    <w:p w14:paraId="188FB065" w14:textId="1E43754D" w:rsidR="00F65FA6" w:rsidRPr="00037E7B" w:rsidRDefault="00F65FA6" w:rsidP="00085825">
      <w:pPr>
        <w:pStyle w:val="InstructionsText2"/>
        <w:numPr>
          <w:ilvl w:val="1"/>
          <w:numId w:val="132"/>
        </w:numPr>
        <w:spacing w:line="259" w:lineRule="auto"/>
      </w:pPr>
      <w:r>
        <w:lastRenderedPageBreak/>
        <w:t>ha az illetékes hatóság engedélyezte egy kereskedési könyvi pozíció nem kereskedési könyvi pozícióvá történő átsorolását vagy fordítva;</w:t>
      </w:r>
    </w:p>
    <w:p w14:paraId="5B6EC138" w14:textId="25B6D89E" w:rsidR="00F65FA6" w:rsidRPr="00037E7B" w:rsidRDefault="00F65FA6" w:rsidP="00085825">
      <w:pPr>
        <w:pStyle w:val="InstructionsText2"/>
        <w:numPr>
          <w:ilvl w:val="1"/>
          <w:numId w:val="132"/>
        </w:numPr>
        <w:spacing w:line="259" w:lineRule="auto"/>
      </w:pPr>
      <w:r>
        <w:t>ha az átsorolás megfelel az 575/2013/EU rendelet 104a. cikkének (6) bekezdésében meghatározott feltételeknek, és az illetékes hatóság kifejezett engedélye nélkül is elvégezhető.</w:t>
      </w:r>
    </w:p>
    <w:p w14:paraId="42F779D4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>A táblában a következő átsorolt instrumentumokat kell feltüntetni:</w:t>
      </w:r>
    </w:p>
    <w:p w14:paraId="2B0996DA" w14:textId="3EB81158" w:rsidR="00F65FA6" w:rsidRPr="00037E7B" w:rsidRDefault="00F65FA6" w:rsidP="00085825">
      <w:pPr>
        <w:pStyle w:val="InstructionsText2"/>
        <w:numPr>
          <w:ilvl w:val="1"/>
          <w:numId w:val="133"/>
        </w:numPr>
        <w:spacing w:line="259" w:lineRule="auto"/>
      </w:pPr>
      <w:r>
        <w:t>az adatszolgáltatás tárgyát képező negyedévben átsorolt instrumentumok. A táblában a negyedév során átsorolt összes instrumentumot fel kell tüntetni, függetlenül attól, hogy az átsorolás a szavatolótőke-követelmények csökkenését eredményezi-e vagy sem. A negyedév során átsorolt instrumentumot akkor is meg kell adni, ha az az átsorolás időpontja és az adatszolgáltatási vonatkozási időpont között kivezetésre került vagy lejárt;</w:t>
      </w:r>
    </w:p>
    <w:p w14:paraId="29ED050F" w14:textId="56E21CB0" w:rsidR="00F65FA6" w:rsidRPr="00037E7B" w:rsidRDefault="00F65FA6" w:rsidP="00085825">
      <w:pPr>
        <w:pStyle w:val="InstructionsText2"/>
        <w:numPr>
          <w:ilvl w:val="1"/>
          <w:numId w:val="133"/>
        </w:numPr>
        <w:spacing w:line="259" w:lineRule="auto"/>
      </w:pPr>
      <w:r>
        <w:t xml:space="preserve">az előző adatszolgáltatási időszakokban átsorolt azon instrumentumok, amelyek az adatszolgáltatási vonatkozási időpontban az 575/2013/EU rendelet 104a. cikke (3) bekezdésének b) pontjával összhangban még mindig szavatolótőke-követelmény hatálya alá tartoznak; </w:t>
      </w:r>
    </w:p>
    <w:p w14:paraId="04E7DE74" w14:textId="0EA265BF" w:rsidR="00F65FA6" w:rsidRPr="00037E7B" w:rsidRDefault="00F65FA6" w:rsidP="00085825">
      <w:pPr>
        <w:pStyle w:val="InstructionsText2"/>
        <w:numPr>
          <w:ilvl w:val="1"/>
          <w:numId w:val="133"/>
        </w:numPr>
        <w:spacing w:line="259" w:lineRule="auto"/>
      </w:pPr>
      <w:r>
        <w:t>az előző adatszolgáltatási időszakokban átsorolt azon instrumentumok, amelyek az előző adatszolgáltatási vonatkozási időpontban az 575/2013/EU rendelet 104a. cikke (3) bekezdésének b) pontjával összhangban szavatolótőke-követelmény hatálya alá tartoztak, amennyiben az adatszolgáltatás tárgyát képező negyedévben hatályba lép az illetékes hatóságnak a szavatolótőkekövetelmény-csökkentés elismerésére vonatkozó engedélye.</w:t>
      </w:r>
    </w:p>
    <w:p w14:paraId="4E4DBEFD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>Az intézményeknek minden átsorolt instrumentum esetében külön kell adatot szolgáltatniuk az átsorolásról.</w:t>
      </w:r>
    </w:p>
    <w:p w14:paraId="17A4C841" w14:textId="77777777" w:rsidR="00F65FA6" w:rsidRPr="00037E7B" w:rsidDel="00BC604C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A „beszámító csoport” mezőben annak a szervezetnek a beszámító csoportját kell feltüntetni, amely a pozíciót az adatszolgáltatási vonatkozási időpontban, vagy adott esetben a lejárat vagy a kivezetés időpontjában tartotta. </w:t>
      </w:r>
    </w:p>
    <w:p w14:paraId="27A31F03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9.3.2</w:t>
      </w:r>
      <w:r>
        <w:rPr>
          <w:rFonts w:ascii="Times New Roman" w:hAnsi="Times New Roman"/>
          <w:sz w:val="24"/>
          <w:u w:val="none"/>
        </w:rPr>
        <w:tab/>
        <w:t>A tábla egyes részeire vonatkozó útmutató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F65FA6" w:rsidRPr="00037E7B" w14:paraId="4E787111" w14:textId="77777777" w:rsidTr="00E02007">
        <w:tc>
          <w:tcPr>
            <w:tcW w:w="1203" w:type="dxa"/>
            <w:shd w:val="clear" w:color="auto" w:fill="BFBFBF" w:themeFill="background1" w:themeFillShade="BF"/>
          </w:tcPr>
          <w:p w14:paraId="37E96ED0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Oszlop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114CE84C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Jogszabályi hivatkozások és útmutató</w:t>
            </w:r>
          </w:p>
        </w:tc>
      </w:tr>
      <w:tr w:rsidR="00F65FA6" w:rsidRPr="00037E7B" w14:paraId="7804A6AA" w14:textId="77777777" w:rsidTr="00E02007">
        <w:trPr>
          <w:trHeight w:val="1408"/>
        </w:trPr>
        <w:tc>
          <w:tcPr>
            <w:tcW w:w="1203" w:type="dxa"/>
          </w:tcPr>
          <w:p w14:paraId="7D96819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813" w:type="dxa"/>
            <w:vAlign w:val="bottom"/>
          </w:tcPr>
          <w:p w14:paraId="11F7B8E9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Átsorolási azonosító</w:t>
            </w:r>
          </w:p>
          <w:p w14:paraId="677D77C4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adatszolgáltató intézmény által az átsorolt instrumentum vagy adott esetben az átsorolás azonosítására használt belső (alfanumerikus) kód.</w:t>
            </w:r>
          </w:p>
          <w:p w14:paraId="5368921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Minden átsoroláshoz eltérő átsorolási azonosítót kell rendelni. Az adott átsoroláshoz rendelt átsorolási azonosítónak egyedinek, és mind időben, mind az adatszolgáltatások között következetesnek kell lennie.</w:t>
            </w:r>
          </w:p>
          <w:p w14:paraId="6DB947C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lastRenderedPageBreak/>
              <w:t>Ez egy sorazonosító, amely a tábla minden sorát egyedileg azonosítja.</w:t>
            </w:r>
          </w:p>
        </w:tc>
      </w:tr>
      <w:tr w:rsidR="00F65FA6" w:rsidRPr="00037E7B" w14:paraId="59ECF46A" w14:textId="77777777" w:rsidTr="00E02007">
        <w:tc>
          <w:tcPr>
            <w:tcW w:w="1203" w:type="dxa"/>
          </w:tcPr>
          <w:p w14:paraId="657AB94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0020</w:t>
            </w:r>
          </w:p>
        </w:tc>
        <w:tc>
          <w:tcPr>
            <w:tcW w:w="7813" w:type="dxa"/>
            <w:vAlign w:val="bottom"/>
          </w:tcPr>
          <w:p w14:paraId="30229377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Instrumentum típusa</w:t>
            </w:r>
          </w:p>
          <w:p w14:paraId="397FF85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Az átsorolt instrumentum rövid leírása, amely lehetővé teszi az átsorolt instrumentum jellegének és fő jellemzőinek megértését. </w:t>
            </w:r>
          </w:p>
          <w:p w14:paraId="7D66558D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Amennyiben az átsorolt instrumentum nemzetközi értékpapír-azonosító számmal (ISIN) rendelkezik, azt az instrumentum fő jellemzői mellett fel kell tüntetni a leírásban. </w:t>
            </w:r>
          </w:p>
        </w:tc>
      </w:tr>
      <w:tr w:rsidR="00F65FA6" w:rsidRPr="00037E7B" w14:paraId="4307D827" w14:textId="77777777" w:rsidTr="00E02007">
        <w:tc>
          <w:tcPr>
            <w:tcW w:w="1203" w:type="dxa"/>
          </w:tcPr>
          <w:p w14:paraId="7269597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813" w:type="dxa"/>
            <w:vAlign w:val="bottom"/>
          </w:tcPr>
          <w:p w14:paraId="4E9993E7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Az a szabály szerinti könyv, amelyből az átsorolás történt</w:t>
            </w:r>
          </w:p>
          <w:p w14:paraId="74CBD9F5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 következő két lehetőség egyikét kell feltüntetni:</w:t>
            </w:r>
          </w:p>
          <w:p w14:paraId="4B75926D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Kereskedési könyv</w:t>
            </w:r>
            <w:r>
              <w:rPr>
                <w:rFonts w:ascii="Times New Roman" w:hAnsi="Times New Roman"/>
              </w:rPr>
              <w:br/>
              <w:t>Az 575/2013/EU rendelet 4. cikke (1) bekezdésének 86. pontja</w:t>
            </w:r>
          </w:p>
          <w:p w14:paraId="787F3457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Banki könyv </w:t>
            </w:r>
            <w:r>
              <w:rPr>
                <w:rFonts w:ascii="Times New Roman" w:hAnsi="Times New Roman"/>
              </w:rPr>
              <w:br/>
              <w:t>A kereskedési könyvben nem szereplő összes pozíciót tartalmazza.</w:t>
            </w:r>
          </w:p>
        </w:tc>
      </w:tr>
      <w:tr w:rsidR="00F65FA6" w:rsidRPr="00037E7B" w14:paraId="47BC0AA3" w14:textId="77777777" w:rsidTr="00E02007">
        <w:tc>
          <w:tcPr>
            <w:tcW w:w="1203" w:type="dxa"/>
          </w:tcPr>
          <w:p w14:paraId="1EFC356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0040</w:t>
            </w:r>
          </w:p>
        </w:tc>
        <w:tc>
          <w:tcPr>
            <w:tcW w:w="7813" w:type="dxa"/>
            <w:vAlign w:val="bottom"/>
          </w:tcPr>
          <w:p w14:paraId="4C994CB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Az a szabály szerinti könyv, amelybe az átsorolás történt</w:t>
            </w:r>
          </w:p>
          <w:p w14:paraId="3021E1D4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 következő két lehetőség egyikét kell feltüntetni:</w:t>
            </w:r>
          </w:p>
          <w:p w14:paraId="1EE13C76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Kereskedési könyv</w:t>
            </w:r>
            <w:r>
              <w:rPr>
                <w:rFonts w:ascii="Times New Roman" w:hAnsi="Times New Roman"/>
              </w:rPr>
              <w:br/>
              <w:t>Az 575/2013/EU rendelet 4. cikke (1) bekezdésének 86. pontja</w:t>
            </w:r>
          </w:p>
          <w:p w14:paraId="41D9486B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Banki könyv</w:t>
            </w:r>
            <w:r>
              <w:rPr>
                <w:rFonts w:ascii="Times New Roman" w:hAnsi="Times New Roman"/>
              </w:rPr>
              <w:br/>
              <w:t>A kereskedési könyvben nem szereplő összes pozíciót tartalmazza.</w:t>
            </w:r>
          </w:p>
        </w:tc>
      </w:tr>
      <w:tr w:rsidR="00F65FA6" w:rsidRPr="00037E7B" w14:paraId="14476FEB" w14:textId="77777777" w:rsidTr="00E02007">
        <w:tc>
          <w:tcPr>
            <w:tcW w:w="1203" w:type="dxa"/>
          </w:tcPr>
          <w:p w14:paraId="13F0D9EC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</w:t>
            </w:r>
          </w:p>
        </w:tc>
        <w:tc>
          <w:tcPr>
            <w:tcW w:w="7813" w:type="dxa"/>
            <w:vAlign w:val="bottom"/>
          </w:tcPr>
          <w:p w14:paraId="19E4E9E2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Az átsorolás oka</w:t>
            </w:r>
          </w:p>
          <w:p w14:paraId="7DED50F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Azon rendkívüli körülmények ismertetése, amelyek a pozíció szabály szerinti könyvek közötti átsorolásához vezettek. Az ebben a cellában megadott ismertetésnek elég részletesnek kell lennie annak alátámasztásához, hogy az átsorolás miért minősül rendkívülinek.</w:t>
            </w:r>
          </w:p>
        </w:tc>
      </w:tr>
      <w:tr w:rsidR="00F65FA6" w:rsidRPr="00037E7B" w14:paraId="490381CE" w14:textId="77777777" w:rsidTr="00E02007">
        <w:tc>
          <w:tcPr>
            <w:tcW w:w="1203" w:type="dxa"/>
          </w:tcPr>
          <w:p w14:paraId="139D44B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0060</w:t>
            </w:r>
          </w:p>
        </w:tc>
        <w:tc>
          <w:tcPr>
            <w:tcW w:w="7813" w:type="dxa"/>
            <w:vAlign w:val="bottom"/>
          </w:tcPr>
          <w:p w14:paraId="1362F39C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Előzetes engedély (státusz)</w:t>
            </w:r>
          </w:p>
          <w:p w14:paraId="56285F31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104a. cikkének (2) és (6) bekezdése</w:t>
            </w:r>
          </w:p>
          <w:p w14:paraId="65D8CB7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Ha az 575/2013/EU rendelet 104a. cikkének (6) bekezdésével összhangban nincs szükség az illetékes hatóság előzetes engedélyére, az intézményeknek ebben az oszlopban a „Nem kell előzetes engedély” szöveget kell feltüntetniük. Ha szükség van előzetes engedélyre, és azt megszerezték, az „Előzetes engedély beszerezve” szöveget kell feltüntetni.</w:t>
            </w:r>
          </w:p>
        </w:tc>
      </w:tr>
      <w:tr w:rsidR="00F65FA6" w:rsidRPr="00037E7B" w14:paraId="78F1574B" w14:textId="77777777" w:rsidTr="00E02007">
        <w:tc>
          <w:tcPr>
            <w:tcW w:w="1203" w:type="dxa"/>
          </w:tcPr>
          <w:p w14:paraId="26979E4B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0070</w:t>
            </w:r>
          </w:p>
        </w:tc>
        <w:tc>
          <w:tcPr>
            <w:tcW w:w="7813" w:type="dxa"/>
            <w:vAlign w:val="bottom"/>
          </w:tcPr>
          <w:p w14:paraId="21A070A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Az átsorolás időpontja</w:t>
            </w:r>
          </w:p>
          <w:p w14:paraId="230E5C22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lastRenderedPageBreak/>
              <w:t>Az 575/2013/EU rendelet 104a. cikkének (2) bekezdése és (6) bekezdése első mondata</w:t>
            </w:r>
          </w:p>
        </w:tc>
      </w:tr>
      <w:tr w:rsidR="00F65FA6" w:rsidRPr="00037E7B" w14:paraId="0E22B962" w14:textId="77777777" w:rsidTr="00E02007">
        <w:tc>
          <w:tcPr>
            <w:tcW w:w="1203" w:type="dxa"/>
          </w:tcPr>
          <w:p w14:paraId="5DAEDB5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0080</w:t>
            </w:r>
          </w:p>
        </w:tc>
        <w:tc>
          <w:tcPr>
            <w:tcW w:w="7813" w:type="dxa"/>
            <w:vAlign w:val="bottom"/>
          </w:tcPr>
          <w:p w14:paraId="1822A08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 szavatolótőke-követelményeknek az átsorolásból eredő nettó (+) növekedése vagy (–) csökkenése</w:t>
            </w:r>
          </w:p>
          <w:p w14:paraId="037647A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 szavatolótőke-követelmény összegének a pozíció átsorolásából eredő, az 575/2013/EU rendelet 104a. cikke (4) bekezdésének megfelelően kiszámított nettó változása</w:t>
            </w:r>
          </w:p>
          <w:p w14:paraId="6BA75988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 szavatolótőke-követelmények átsorolásból eredő növekedését pozitív előjellel (+), csökkenését pedig negatív (–) előjellel kell feltüntetni.</w:t>
            </w:r>
          </w:p>
        </w:tc>
      </w:tr>
      <w:tr w:rsidR="00F65FA6" w:rsidRPr="00037E7B" w14:paraId="22693EF8" w14:textId="77777777" w:rsidTr="00E02007">
        <w:tc>
          <w:tcPr>
            <w:tcW w:w="1203" w:type="dxa"/>
          </w:tcPr>
          <w:p w14:paraId="652EAB8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0090</w:t>
            </w:r>
          </w:p>
        </w:tc>
        <w:tc>
          <w:tcPr>
            <w:tcW w:w="7813" w:type="dxa"/>
            <w:vAlign w:val="bottom"/>
          </w:tcPr>
          <w:p w14:paraId="4A786750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A szavatolótőke-követelményeknek az átsorolásból eredő többlete </w:t>
            </w:r>
          </w:p>
          <w:p w14:paraId="08204427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Ha a szavatolótőke-követelmény összegének a pozíció átsorolásából eredő, az 575/2013/EU rendelet 104a. cikke (4) bekezdésének megfelelően kiszámított nettó változása az intézmény szavatolótőke-követelményeinek csökkenését jelenti, és az illetékes hatóság nem engedélyezte a csökkentésnek az 575/2013/EU rendelet 104a. cikke (3) bekezdésének b) pontja szerinti elismerését, a csökkentés összegét pozitív előjellel kell feltüntetni. Az összeg ilyen esetben a szavatolótőke-követelményeknek az átsorolásból eredő többletét jelenti.</w:t>
            </w:r>
          </w:p>
          <w:p w14:paraId="58E348B5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Ha az illetékes hatóság az 575/2013/EU rendelet 104a. cikke (3) bekezdésének b) pontjával összhangban engedélyezi a szavatolótőke-követelmények csökkentésének elismerését, ezt az oszlopot üresen kell hagyni.</w:t>
            </w:r>
          </w:p>
        </w:tc>
      </w:tr>
      <w:tr w:rsidR="00F65FA6" w:rsidRPr="00037E7B" w14:paraId="33A66CF2" w14:textId="77777777" w:rsidTr="00E02007">
        <w:tc>
          <w:tcPr>
            <w:tcW w:w="1203" w:type="dxa"/>
          </w:tcPr>
          <w:p w14:paraId="3AA16332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0100</w:t>
            </w:r>
          </w:p>
        </w:tc>
        <w:tc>
          <w:tcPr>
            <w:tcW w:w="7813" w:type="dxa"/>
            <w:vAlign w:val="bottom"/>
          </w:tcPr>
          <w:p w14:paraId="5C674A5B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Az instrumentum lejáratának vagy tervezett kivezetésének a dátuma</w:t>
            </w:r>
          </w:p>
          <w:p w14:paraId="019C730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Ha nem tervezik a kivezetést, az instrumentum lejáratát kell feltüntetni. </w:t>
            </w:r>
          </w:p>
          <w:p w14:paraId="69F6AC70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Ha az instrumentumot lejárata előtt kivezetik, a tervezett kivezetés időpontját kell feltüntetni.</w:t>
            </w:r>
          </w:p>
          <w:p w14:paraId="3742220D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Ha a lejáratnak vagy a kivezetésnek csak a hónapja és az éve ismert, az instrumentum lejáratának vagy tervezett kivezetésének időpontjaként a hónap utolsó napját kell feltüntetni. Ha a kivezetésnek csak az éve ismert, az instrumentum lejáratának vagy tervezett kivezetésének időpontjaként a szóban forgó év december 31-ét kell feltüntetni.</w:t>
            </w:r>
          </w:p>
          <w:p w14:paraId="7F211819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Ha az instrumentum lejáratának vagy tervezett kivezetésének időpontja nem határozható meg vagy nem ismert, ebben az oszlopban 9999. december 31-ét kell feltüntetni. </w:t>
            </w:r>
          </w:p>
        </w:tc>
      </w:tr>
      <w:tr w:rsidR="00F65FA6" w:rsidRPr="00FE3C59" w14:paraId="0A30C5DF" w14:textId="77777777" w:rsidTr="00E02007">
        <w:tc>
          <w:tcPr>
            <w:tcW w:w="1203" w:type="dxa"/>
          </w:tcPr>
          <w:p w14:paraId="12AE4F1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0110</w:t>
            </w:r>
          </w:p>
        </w:tc>
        <w:tc>
          <w:tcPr>
            <w:tcW w:w="7813" w:type="dxa"/>
            <w:vAlign w:val="bottom"/>
          </w:tcPr>
          <w:p w14:paraId="441DE52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Az a dátum, amelytől az illetékes hatóság engedélyezi a szavatolótőke-követelmények csökkentésének a megjelenítését</w:t>
            </w:r>
          </w:p>
          <w:p w14:paraId="49ECC5E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104a. cikke (3) bekezdésének b) pontja</w:t>
            </w:r>
          </w:p>
          <w:p w14:paraId="1B724794" w14:textId="77777777" w:rsidR="00F65FA6" w:rsidRPr="00FE3C59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Ha az átsorolás a szavatolótőke-követelmények nettó növekedését eredményezte, és az illetékes hatóság nem engedélyezte a szavatolótőke-követelmények csökkentésének elismerését, nem kell időpontot feltüntetni.”</w:t>
            </w:r>
          </w:p>
        </w:tc>
      </w:tr>
    </w:tbl>
    <w:p w14:paraId="18DC5971" w14:textId="77777777" w:rsidR="00522E00" w:rsidRPr="00F65FA6" w:rsidRDefault="00522E00" w:rsidP="00085825">
      <w:pPr>
        <w:pStyle w:val="body"/>
        <w:rPr>
          <w:rStyle w:val="InstructionsTabelleText"/>
          <w:rFonts w:ascii="Times New Roman" w:hAnsi="Times New Roman"/>
          <w:sz w:val="24"/>
          <w:lang w:val="en-GB"/>
        </w:rPr>
      </w:pPr>
    </w:p>
    <w:sectPr w:rsidR="00522E00" w:rsidRPr="00F65FA6" w:rsidSect="00B51F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891FA" w14:textId="77777777" w:rsidR="00BE55D3" w:rsidRDefault="00BE55D3" w:rsidP="00D946DB">
      <w:pPr>
        <w:spacing w:before="0" w:after="0"/>
      </w:pPr>
      <w:r>
        <w:separator/>
      </w:r>
    </w:p>
  </w:endnote>
  <w:endnote w:type="continuationSeparator" w:id="0">
    <w:p w14:paraId="691B537F" w14:textId="77777777" w:rsidR="00BE55D3" w:rsidRDefault="00BE55D3" w:rsidP="00D946DB">
      <w:pPr>
        <w:spacing w:before="0" w:after="0"/>
      </w:pPr>
      <w:r>
        <w:continuationSeparator/>
      </w:r>
    </w:p>
  </w:endnote>
  <w:endnote w:type="continuationNotice" w:id="1">
    <w:p w14:paraId="53C80F62" w14:textId="77777777" w:rsidR="00BE55D3" w:rsidRDefault="00BE55D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78192" w14:textId="77777777" w:rsidR="00BE55D3" w:rsidRDefault="00BE55D3" w:rsidP="00D946DB">
      <w:pPr>
        <w:spacing w:before="0" w:after="0"/>
      </w:pPr>
      <w:r>
        <w:separator/>
      </w:r>
    </w:p>
  </w:footnote>
  <w:footnote w:type="continuationSeparator" w:id="0">
    <w:p w14:paraId="3720A9D8" w14:textId="77777777" w:rsidR="00BE55D3" w:rsidRDefault="00BE55D3" w:rsidP="00D946DB">
      <w:pPr>
        <w:spacing w:before="0" w:after="0"/>
      </w:pPr>
      <w:r>
        <w:continuationSeparator/>
      </w:r>
    </w:p>
  </w:footnote>
  <w:footnote w:type="continuationNotice" w:id="1">
    <w:p w14:paraId="2A5FD27B" w14:textId="77777777" w:rsidR="00BE55D3" w:rsidRDefault="00BE55D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H – szokásos felhasználásr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H – szokásos felhasználásra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H – szokásos felhasználásr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H – szokásos felhasználásra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H – szokásos felhasználásr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H – szokásos felhasználásra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20D4E75"/>
    <w:multiLevelType w:val="hybridMultilevel"/>
    <w:tmpl w:val="69263B24"/>
    <w:lvl w:ilvl="0" w:tplc="0809000F">
      <w:start w:val="1"/>
      <w:numFmt w:val="decimal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9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8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9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1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4A10E5B"/>
    <w:multiLevelType w:val="multilevel"/>
    <w:tmpl w:val="46C8D792"/>
    <w:lvl w:ilvl="0">
      <w:start w:val="208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20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</w:rPr>
    </w:lvl>
  </w:abstractNum>
  <w:abstractNum w:abstractNumId="69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1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50"/>
  </w:num>
  <w:num w:numId="3" w16cid:durableId="286200695">
    <w:abstractNumId w:val="66"/>
  </w:num>
  <w:num w:numId="4" w16cid:durableId="487287975">
    <w:abstractNumId w:val="42"/>
  </w:num>
  <w:num w:numId="5" w16cid:durableId="1754350949">
    <w:abstractNumId w:val="57"/>
  </w:num>
  <w:num w:numId="6" w16cid:durableId="1507597667">
    <w:abstractNumId w:val="31"/>
  </w:num>
  <w:num w:numId="7" w16cid:durableId="139271283">
    <w:abstractNumId w:val="65"/>
  </w:num>
  <w:num w:numId="8" w16cid:durableId="763764270">
    <w:abstractNumId w:val="16"/>
  </w:num>
  <w:num w:numId="9" w16cid:durableId="1561986968">
    <w:abstractNumId w:val="55"/>
  </w:num>
  <w:num w:numId="10" w16cid:durableId="1349260748">
    <w:abstractNumId w:val="28"/>
  </w:num>
  <w:num w:numId="11" w16cid:durableId="1097991330">
    <w:abstractNumId w:val="44"/>
  </w:num>
  <w:num w:numId="12" w16cid:durableId="858469680">
    <w:abstractNumId w:val="18"/>
  </w:num>
  <w:num w:numId="13" w16cid:durableId="1485394352">
    <w:abstractNumId w:val="56"/>
  </w:num>
  <w:num w:numId="14" w16cid:durableId="881021889">
    <w:abstractNumId w:val="49"/>
  </w:num>
  <w:num w:numId="15" w16cid:durableId="1923681300">
    <w:abstractNumId w:val="26"/>
  </w:num>
  <w:num w:numId="16" w16cid:durableId="211188018">
    <w:abstractNumId w:val="43"/>
  </w:num>
  <w:num w:numId="17" w16cid:durableId="373817584">
    <w:abstractNumId w:val="22"/>
  </w:num>
  <w:num w:numId="18" w16cid:durableId="1615165847">
    <w:abstractNumId w:val="58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7"/>
  </w:num>
  <w:num w:numId="22" w16cid:durableId="510485648">
    <w:abstractNumId w:val="37"/>
  </w:num>
  <w:num w:numId="23" w16cid:durableId="863594772">
    <w:abstractNumId w:val="48"/>
  </w:num>
  <w:num w:numId="24" w16cid:durableId="1184786628">
    <w:abstractNumId w:val="59"/>
  </w:num>
  <w:num w:numId="25" w16cid:durableId="156314703">
    <w:abstractNumId w:val="15"/>
  </w:num>
  <w:num w:numId="26" w16cid:durableId="1106079368">
    <w:abstractNumId w:val="35"/>
  </w:num>
  <w:num w:numId="27" w16cid:durableId="1353070508">
    <w:abstractNumId w:val="46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1"/>
  </w:num>
  <w:num w:numId="31" w16cid:durableId="1418819944">
    <w:abstractNumId w:val="69"/>
  </w:num>
  <w:num w:numId="32" w16cid:durableId="239949740">
    <w:abstractNumId w:val="17"/>
  </w:num>
  <w:num w:numId="33" w16cid:durableId="8442498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1"/>
  </w:num>
  <w:num w:numId="36" w16cid:durableId="1464036760">
    <w:abstractNumId w:val="4"/>
  </w:num>
  <w:num w:numId="37" w16cid:durableId="249973241">
    <w:abstractNumId w:val="63"/>
  </w:num>
  <w:num w:numId="38" w16cid:durableId="1115178956">
    <w:abstractNumId w:val="67"/>
  </w:num>
  <w:num w:numId="39" w16cid:durableId="1079792157">
    <w:abstractNumId w:val="36"/>
  </w:num>
  <w:num w:numId="40" w16cid:durableId="1333265662">
    <w:abstractNumId w:val="2"/>
  </w:num>
  <w:num w:numId="41" w16cid:durableId="737484550">
    <w:abstractNumId w:val="30"/>
  </w:num>
  <w:num w:numId="42" w16cid:durableId="309210531">
    <w:abstractNumId w:val="64"/>
  </w:num>
  <w:num w:numId="43" w16cid:durableId="166527561">
    <w:abstractNumId w:val="1"/>
  </w:num>
  <w:num w:numId="44" w16cid:durableId="1544101633">
    <w:abstractNumId w:val="60"/>
  </w:num>
  <w:num w:numId="45" w16cid:durableId="44380249">
    <w:abstractNumId w:val="45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1"/>
  </w:num>
  <w:num w:numId="49" w16cid:durableId="1718896137">
    <w:abstractNumId w:val="21"/>
  </w:num>
  <w:num w:numId="50" w16cid:durableId="1728258729">
    <w:abstractNumId w:val="70"/>
  </w:num>
  <w:num w:numId="51" w16cid:durableId="1856534817">
    <w:abstractNumId w:val="54"/>
  </w:num>
  <w:num w:numId="52" w16cid:durableId="771122248">
    <w:abstractNumId w:val="33"/>
  </w:num>
  <w:num w:numId="53" w16cid:durableId="738211683">
    <w:abstractNumId w:val="26"/>
  </w:num>
  <w:num w:numId="54" w16cid:durableId="1774208110">
    <w:abstractNumId w:val="26"/>
  </w:num>
  <w:num w:numId="55" w16cid:durableId="698626776">
    <w:abstractNumId w:val="26"/>
  </w:num>
  <w:num w:numId="56" w16cid:durableId="1155799151">
    <w:abstractNumId w:val="26"/>
  </w:num>
  <w:num w:numId="57" w16cid:durableId="16854895">
    <w:abstractNumId w:val="56"/>
  </w:num>
  <w:num w:numId="58" w16cid:durableId="441648627">
    <w:abstractNumId w:val="62"/>
  </w:num>
  <w:num w:numId="59" w16cid:durableId="1204750145">
    <w:abstractNumId w:val="38"/>
  </w:num>
  <w:num w:numId="60" w16cid:durableId="1881163654">
    <w:abstractNumId w:val="61"/>
  </w:num>
  <w:num w:numId="61" w16cid:durableId="564342068">
    <w:abstractNumId w:val="68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6"/>
  </w:num>
  <w:num w:numId="65" w16cid:durableId="912351439">
    <w:abstractNumId w:val="26"/>
  </w:num>
  <w:num w:numId="66" w16cid:durableId="1115518585">
    <w:abstractNumId w:val="23"/>
  </w:num>
  <w:num w:numId="67" w16cid:durableId="1254245876">
    <w:abstractNumId w:val="72"/>
  </w:num>
  <w:num w:numId="68" w16cid:durableId="1354916990">
    <w:abstractNumId w:val="32"/>
  </w:num>
  <w:num w:numId="69" w16cid:durableId="304165099">
    <w:abstractNumId w:val="29"/>
  </w:num>
  <w:num w:numId="70" w16cid:durableId="1683121088">
    <w:abstractNumId w:val="40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9"/>
  </w:num>
  <w:num w:numId="74" w16cid:durableId="469858578">
    <w:abstractNumId w:val="47"/>
  </w:num>
  <w:num w:numId="75" w16cid:durableId="2106150306">
    <w:abstractNumId w:val="34"/>
  </w:num>
  <w:num w:numId="76" w16cid:durableId="1625306053">
    <w:abstractNumId w:val="26"/>
  </w:num>
  <w:num w:numId="77" w16cid:durableId="1635911473">
    <w:abstractNumId w:val="26"/>
  </w:num>
  <w:num w:numId="78" w16cid:durableId="254442520">
    <w:abstractNumId w:val="56"/>
  </w:num>
  <w:num w:numId="79" w16cid:durableId="2019043190">
    <w:abstractNumId w:val="56"/>
  </w:num>
  <w:num w:numId="80" w16cid:durableId="562058377">
    <w:abstractNumId w:val="56"/>
  </w:num>
  <w:num w:numId="81" w16cid:durableId="1759137703">
    <w:abstractNumId w:val="56"/>
  </w:num>
  <w:num w:numId="82" w16cid:durableId="123818016">
    <w:abstractNumId w:val="56"/>
  </w:num>
  <w:num w:numId="83" w16cid:durableId="1590625833">
    <w:abstractNumId w:val="56"/>
  </w:num>
  <w:num w:numId="84" w16cid:durableId="671184775">
    <w:abstractNumId w:val="56"/>
  </w:num>
  <w:num w:numId="85" w16cid:durableId="897664751">
    <w:abstractNumId w:val="5"/>
  </w:num>
  <w:num w:numId="86" w16cid:durableId="1293025442">
    <w:abstractNumId w:val="56"/>
  </w:num>
  <w:num w:numId="87" w16cid:durableId="784428268">
    <w:abstractNumId w:val="56"/>
  </w:num>
  <w:num w:numId="88" w16cid:durableId="1356544267">
    <w:abstractNumId w:val="56"/>
  </w:num>
  <w:num w:numId="89" w16cid:durableId="1756898050">
    <w:abstractNumId w:val="56"/>
  </w:num>
  <w:num w:numId="90" w16cid:durableId="1953591268">
    <w:abstractNumId w:val="56"/>
  </w:num>
  <w:num w:numId="91" w16cid:durableId="1411076586">
    <w:abstractNumId w:val="56"/>
  </w:num>
  <w:num w:numId="92" w16cid:durableId="713577442">
    <w:abstractNumId w:val="56"/>
  </w:num>
  <w:num w:numId="93" w16cid:durableId="1665546488">
    <w:abstractNumId w:val="56"/>
  </w:num>
  <w:num w:numId="94" w16cid:durableId="967052354">
    <w:abstractNumId w:val="56"/>
  </w:num>
  <w:num w:numId="95" w16cid:durableId="309484170">
    <w:abstractNumId w:val="56"/>
  </w:num>
  <w:num w:numId="96" w16cid:durableId="1535777035">
    <w:abstractNumId w:val="26"/>
  </w:num>
  <w:num w:numId="97" w16cid:durableId="973751919">
    <w:abstractNumId w:val="26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6"/>
  </w:num>
  <w:num w:numId="101" w16cid:durableId="808861108">
    <w:abstractNumId w:val="26"/>
  </w:num>
  <w:num w:numId="102" w16cid:durableId="202838676">
    <w:abstractNumId w:val="26"/>
  </w:num>
  <w:num w:numId="103" w16cid:durableId="760026508">
    <w:abstractNumId w:val="26"/>
  </w:num>
  <w:num w:numId="104" w16cid:durableId="1074426706">
    <w:abstractNumId w:val="56"/>
  </w:num>
  <w:num w:numId="105" w16cid:durableId="524179360">
    <w:abstractNumId w:val="26"/>
  </w:num>
  <w:num w:numId="106" w16cid:durableId="98719631">
    <w:abstractNumId w:val="52"/>
  </w:num>
  <w:num w:numId="107" w16cid:durableId="1289240839">
    <w:abstractNumId w:val="26"/>
  </w:num>
  <w:num w:numId="108" w16cid:durableId="1410078559">
    <w:abstractNumId w:val="26"/>
  </w:num>
  <w:num w:numId="109" w16cid:durableId="1179739189">
    <w:abstractNumId w:val="26"/>
  </w:num>
  <w:num w:numId="110" w16cid:durableId="346566243">
    <w:abstractNumId w:val="26"/>
  </w:num>
  <w:num w:numId="111" w16cid:durableId="306859254">
    <w:abstractNumId w:val="26"/>
  </w:num>
  <w:num w:numId="112" w16cid:durableId="732776132">
    <w:abstractNumId w:val="56"/>
  </w:num>
  <w:num w:numId="113" w16cid:durableId="872963773">
    <w:abstractNumId w:val="56"/>
  </w:num>
  <w:num w:numId="114" w16cid:durableId="419832823">
    <w:abstractNumId w:val="26"/>
  </w:num>
  <w:num w:numId="115" w16cid:durableId="1976831320">
    <w:abstractNumId w:val="26"/>
  </w:num>
  <w:num w:numId="116" w16cid:durableId="926570473">
    <w:abstractNumId w:val="56"/>
  </w:num>
  <w:num w:numId="117" w16cid:durableId="365564648">
    <w:abstractNumId w:val="26"/>
  </w:num>
  <w:num w:numId="118" w16cid:durableId="98573524">
    <w:abstractNumId w:val="26"/>
  </w:num>
  <w:num w:numId="119" w16cid:durableId="1933127277">
    <w:abstractNumId w:val="26"/>
  </w:num>
  <w:num w:numId="120" w16cid:durableId="1898935926">
    <w:abstractNumId w:val="26"/>
  </w:num>
  <w:num w:numId="121" w16cid:durableId="102649250">
    <w:abstractNumId w:val="26"/>
  </w:num>
  <w:num w:numId="122" w16cid:durableId="1231430260">
    <w:abstractNumId w:val="56"/>
  </w:num>
  <w:num w:numId="123" w16cid:durableId="636766826">
    <w:abstractNumId w:val="26"/>
  </w:num>
  <w:num w:numId="124" w16cid:durableId="148641963">
    <w:abstractNumId w:val="26"/>
  </w:num>
  <w:num w:numId="125" w16cid:durableId="686636675">
    <w:abstractNumId w:val="26"/>
  </w:num>
  <w:num w:numId="126" w16cid:durableId="44912019">
    <w:abstractNumId w:val="26"/>
  </w:num>
  <w:num w:numId="127" w16cid:durableId="132719380">
    <w:abstractNumId w:val="26"/>
  </w:num>
  <w:num w:numId="128" w16cid:durableId="851991795">
    <w:abstractNumId w:val="26"/>
  </w:num>
  <w:num w:numId="129" w16cid:durableId="898714134">
    <w:abstractNumId w:val="26"/>
  </w:num>
  <w:num w:numId="130" w16cid:durableId="650518952">
    <w:abstractNumId w:val="26"/>
  </w:num>
  <w:num w:numId="131" w16cid:durableId="586690030">
    <w:abstractNumId w:val="25"/>
  </w:num>
  <w:num w:numId="132" w16cid:durableId="2037926597">
    <w:abstractNumId w:val="68"/>
    <w:lvlOverride w:ilvl="0">
      <w:lvl w:ilvl="0">
        <w:start w:val="208"/>
        <w:numFmt w:val="decimal"/>
        <w:lvlText w:val="%1."/>
        <w:lvlJc w:val="left"/>
        <w:pPr>
          <w:ind w:left="1353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2073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793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513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233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953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673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393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113" w:hanging="180"/>
        </w:pPr>
        <w:rPr>
          <w:rFonts w:hint="default"/>
        </w:rPr>
      </w:lvl>
    </w:lvlOverride>
  </w:num>
  <w:num w:numId="133" w16cid:durableId="471485970">
    <w:abstractNumId w:val="68"/>
    <w:lvlOverride w:ilvl="0">
      <w:lvl w:ilvl="0">
        <w:start w:val="208"/>
        <w:numFmt w:val="decimal"/>
        <w:lvlText w:val="%1."/>
        <w:lvlJc w:val="left"/>
        <w:pPr>
          <w:ind w:left="1353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2073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793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513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233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953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673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393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113" w:hanging="180"/>
        </w:pPr>
        <w:rPr>
          <w:rFonts w:hint="default"/>
        </w:rPr>
      </w:lvl>
    </w:lvlOverride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hideSpellingErrors/>
  <w:activeWritingStyle w:appName="MSWord" w:lang="fr-B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hu-HU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32F3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E7B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16B9"/>
    <w:rsid w:val="00052A80"/>
    <w:rsid w:val="00052CAE"/>
    <w:rsid w:val="00052EE6"/>
    <w:rsid w:val="000530BC"/>
    <w:rsid w:val="0005400A"/>
    <w:rsid w:val="000548A2"/>
    <w:rsid w:val="0005609F"/>
    <w:rsid w:val="00056154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25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833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D60"/>
    <w:rsid w:val="001F0FCF"/>
    <w:rsid w:val="001F1653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7A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0C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3D2F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5C1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7060"/>
    <w:rsid w:val="003B7693"/>
    <w:rsid w:val="003B7FD5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2625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17F0B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4DC"/>
    <w:rsid w:val="0047563E"/>
    <w:rsid w:val="00475B6A"/>
    <w:rsid w:val="00475F76"/>
    <w:rsid w:val="00475F8F"/>
    <w:rsid w:val="0047602E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30E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66F4"/>
    <w:rsid w:val="00566905"/>
    <w:rsid w:val="00566A45"/>
    <w:rsid w:val="00566DB5"/>
    <w:rsid w:val="00566E59"/>
    <w:rsid w:val="005704F9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55"/>
    <w:rsid w:val="005C29CD"/>
    <w:rsid w:val="005C2A1D"/>
    <w:rsid w:val="005C2F53"/>
    <w:rsid w:val="005C31F9"/>
    <w:rsid w:val="005C3734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09C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775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845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50C8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A50"/>
    <w:rsid w:val="00723BA8"/>
    <w:rsid w:val="00723F2B"/>
    <w:rsid w:val="00724108"/>
    <w:rsid w:val="007241D3"/>
    <w:rsid w:val="00724589"/>
    <w:rsid w:val="007247ED"/>
    <w:rsid w:val="007248BD"/>
    <w:rsid w:val="007260DA"/>
    <w:rsid w:val="00726591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5643"/>
    <w:rsid w:val="007B6DFF"/>
    <w:rsid w:val="007B6ED2"/>
    <w:rsid w:val="007B7B53"/>
    <w:rsid w:val="007C099C"/>
    <w:rsid w:val="007C0A10"/>
    <w:rsid w:val="007C2334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6F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0BE"/>
    <w:rsid w:val="008304E8"/>
    <w:rsid w:val="00830C5F"/>
    <w:rsid w:val="00830C91"/>
    <w:rsid w:val="00830F86"/>
    <w:rsid w:val="00830FBE"/>
    <w:rsid w:val="00831443"/>
    <w:rsid w:val="00831751"/>
    <w:rsid w:val="008323C7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4A24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378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528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2B5B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546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266"/>
    <w:rsid w:val="009C2C58"/>
    <w:rsid w:val="009C3801"/>
    <w:rsid w:val="009C3D16"/>
    <w:rsid w:val="009C3D69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68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5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446"/>
    <w:rsid w:val="00AC6519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1C8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6580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68A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6EC3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89F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4E0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B3B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53F"/>
    <w:rsid w:val="00BE55D3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129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039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8C6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8AA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83C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2ABE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757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3CED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9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DD5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6B06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40A7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128"/>
    <w:rsid w:val="00EC0AAB"/>
    <w:rsid w:val="00EC0B74"/>
    <w:rsid w:val="00EC0C65"/>
    <w:rsid w:val="00EC153B"/>
    <w:rsid w:val="00EC19AE"/>
    <w:rsid w:val="00EC1EA0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3DB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F30"/>
    <w:rsid w:val="00F12EA3"/>
    <w:rsid w:val="00F13B3B"/>
    <w:rsid w:val="00F13E69"/>
    <w:rsid w:val="00F1455C"/>
    <w:rsid w:val="00F14A2E"/>
    <w:rsid w:val="00F14A91"/>
    <w:rsid w:val="00F14B07"/>
    <w:rsid w:val="00F1528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5FA6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2086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5C6"/>
    <w:rsid w:val="00FF1617"/>
    <w:rsid w:val="00FF208F"/>
    <w:rsid w:val="00FF2658"/>
    <w:rsid w:val="00FF2818"/>
    <w:rsid w:val="00FF2BC3"/>
    <w:rsid w:val="00FF2D0E"/>
    <w:rsid w:val="00FF36A5"/>
    <w:rsid w:val="00FF38DA"/>
    <w:rsid w:val="00FF3B3B"/>
    <w:rsid w:val="00FF49BE"/>
    <w:rsid w:val="00FF6630"/>
    <w:rsid w:val="00FF6BEE"/>
    <w:rsid w:val="00FF6E0E"/>
    <w:rsid w:val="00FF75CC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CB8A86"/>
    <w:rsid w:val="5FF14103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  <w15:docId w15:val="{A9785487-7472-490C-889B-8751B3E4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hu-HU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hu-HU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hu-HU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hu-HU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64546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hu-HU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hu-HU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D3B3B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hu-HU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D3B3B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hu-HU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hu-HU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hu-HU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hu-HU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hu-HU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hu-HU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hu-HU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0FDF8-AD72-4853-8C42-95D293CFEEE1}"/>
</file>

<file path=customXml/itemProps2.xml><?xml version="1.0" encoding="utf-8"?>
<ds:datastoreItem xmlns:ds="http://schemas.openxmlformats.org/officeDocument/2006/customXml" ds:itemID="{D6B51A07-D7AD-450F-93B2-15105AE77BF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3A0232-5BFD-4F5E-B285-512602E16FC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2242</Words>
  <Characters>15566</Characters>
  <Application>Microsoft Office Word</Application>
  <DocSecurity>0</DocSecurity>
  <Lines>389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BOROS Attila Peter (DGT)</cp:lastModifiedBy>
  <cp:revision>5</cp:revision>
  <dcterms:created xsi:type="dcterms:W3CDTF">2024-06-19T18:09:00Z</dcterms:created>
  <dcterms:modified xsi:type="dcterms:W3CDTF">2025-01-27T09:40:00Z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2025-01-27T09:40:46Z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f04a0d76-e8d0-4f73-ac8c-b16d07bc31b9</vt:lpwstr>
  </property>
  <property fmtid="{D5CDD505-2E9C-101B-9397-08002B2CF9AE}" pid="9" name="MSIP_Label_6bd9ddd1-4d20-43f6-abfa-fc3c07406f94_ContentBits">
    <vt:lpwstr>0</vt:lpwstr>
  </property>
</Properties>
</file>